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numPr>
          <w:numId w:val="0"/>
        </w:numPr>
        <w:ind w:leftChars="200"/>
        <w:rPr>
          <w:sz w:val="32"/>
          <w:szCs w:val="32"/>
        </w:rPr>
      </w:pPr>
      <w:bookmarkStart w:id="0" w:name="_Toc6841"/>
      <w:r>
        <w:rPr>
          <w:rFonts w:hint="eastAsia"/>
          <w:sz w:val="32"/>
          <w:szCs w:val="32"/>
          <w:lang w:val="en-US" w:eastAsia="zh-CN"/>
        </w:rPr>
        <w:t xml:space="preserve">第三章 </w:t>
      </w:r>
      <w:bookmarkStart w:id="1" w:name="_GoBack"/>
      <w:bookmarkEnd w:id="1"/>
      <w:r>
        <w:rPr>
          <w:rFonts w:hint="eastAsia"/>
          <w:sz w:val="32"/>
          <w:szCs w:val="32"/>
        </w:rPr>
        <w:t>评审标准</w:t>
      </w:r>
      <w:bookmarkEnd w:id="0"/>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4"/>
        <w:tblW w:w="8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95"/>
        <w:gridCol w:w="567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091" w:type="dxa"/>
            <w:vAlign w:val="center"/>
          </w:tcPr>
          <w:p>
            <w:pPr>
              <w:ind w:firstLine="0" w:firstLineChars="0"/>
              <w:rPr>
                <w:rFonts w:cs="Times New Roman"/>
                <w:b/>
                <w:szCs w:val="21"/>
              </w:rPr>
            </w:pPr>
            <w:r>
              <w:rPr>
                <w:rFonts w:hint="eastAsia" w:cs="Times New Roman"/>
                <w:b/>
                <w:szCs w:val="21"/>
              </w:rPr>
              <w:t>评审项目</w:t>
            </w:r>
          </w:p>
        </w:tc>
        <w:tc>
          <w:tcPr>
            <w:tcW w:w="795" w:type="dxa"/>
            <w:vAlign w:val="center"/>
          </w:tcPr>
          <w:p>
            <w:pPr>
              <w:ind w:firstLine="0" w:firstLineChars="0"/>
              <w:rPr>
                <w:rFonts w:cs="Times New Roman"/>
                <w:b/>
                <w:szCs w:val="21"/>
              </w:rPr>
            </w:pPr>
            <w:r>
              <w:rPr>
                <w:rFonts w:hint="eastAsia" w:cs="Times New Roman"/>
                <w:b/>
                <w:szCs w:val="21"/>
              </w:rPr>
              <w:t>分值</w:t>
            </w:r>
          </w:p>
        </w:tc>
        <w:tc>
          <w:tcPr>
            <w:tcW w:w="5672" w:type="dxa"/>
            <w:vAlign w:val="center"/>
          </w:tcPr>
          <w:p>
            <w:pPr>
              <w:ind w:firstLine="482"/>
              <w:jc w:val="center"/>
              <w:rPr>
                <w:rFonts w:cs="Times New Roman"/>
                <w:b/>
                <w:szCs w:val="21"/>
              </w:rPr>
            </w:pPr>
            <w:r>
              <w:rPr>
                <w:rFonts w:hint="eastAsia" w:cs="Times New Roman"/>
                <w:b/>
                <w:szCs w:val="21"/>
              </w:rPr>
              <w:t>评分标准说明</w:t>
            </w:r>
          </w:p>
        </w:tc>
        <w:tc>
          <w:tcPr>
            <w:tcW w:w="1048" w:type="dxa"/>
            <w:vAlign w:val="center"/>
          </w:tcPr>
          <w:p>
            <w:pPr>
              <w:ind w:firstLine="0" w:firstLineChars="0"/>
              <w:rPr>
                <w:rFonts w:cs="Times New Roman"/>
                <w:b/>
                <w:szCs w:val="21"/>
              </w:rPr>
            </w:pPr>
            <w:r>
              <w:rPr>
                <w:rFonts w:hint="eastAsia" w:cs="Times New Roman"/>
                <w:b/>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szCs w:val="21"/>
              </w:rPr>
            </w:pPr>
            <w:r>
              <w:rPr>
                <w:rFonts w:hint="eastAsia" w:cs="Times New Roman"/>
                <w:b/>
                <w:szCs w:val="21"/>
              </w:rPr>
              <w:t>一、价格部分 （</w:t>
            </w:r>
            <w:r>
              <w:rPr>
                <w:rFonts w:hint="eastAsia" w:cs="Times New Roman"/>
                <w:b/>
                <w:szCs w:val="21"/>
                <w:lang w:val="en-US" w:eastAsia="zh-CN"/>
              </w:rPr>
              <w:t>65</w:t>
            </w:r>
            <w:r>
              <w:rPr>
                <w:rFonts w:hint="eastAsia" w:cs="Times New Roman"/>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6" w:hRule="atLeast"/>
        </w:trPr>
        <w:tc>
          <w:tcPr>
            <w:tcW w:w="1091" w:type="dxa"/>
            <w:vAlign w:val="center"/>
          </w:tcPr>
          <w:p>
            <w:pPr>
              <w:ind w:firstLine="0" w:firstLineChars="0"/>
              <w:rPr>
                <w:rFonts w:cs="Times New Roman"/>
                <w:szCs w:val="21"/>
              </w:rPr>
            </w:pPr>
            <w:r>
              <w:rPr>
                <w:rFonts w:hint="eastAsia" w:cs="Times New Roman"/>
                <w:szCs w:val="21"/>
              </w:rPr>
              <w:t>报价得分</w:t>
            </w:r>
          </w:p>
        </w:tc>
        <w:tc>
          <w:tcPr>
            <w:tcW w:w="795" w:type="dxa"/>
            <w:vAlign w:val="center"/>
          </w:tcPr>
          <w:p>
            <w:pPr>
              <w:tabs>
                <w:tab w:val="center" w:pos="540"/>
                <w:tab w:val="center" w:pos="1080"/>
              </w:tabs>
              <w:ind w:firstLine="0" w:firstLineChars="0"/>
              <w:rPr>
                <w:rFonts w:cs="Times New Roman"/>
                <w:szCs w:val="21"/>
              </w:rPr>
            </w:pPr>
            <w:r>
              <w:rPr>
                <w:rFonts w:hint="eastAsia" w:cs="Times New Roman"/>
                <w:szCs w:val="21"/>
                <w:lang w:val="en-US" w:eastAsia="zh-CN"/>
              </w:rPr>
              <w:t>65</w:t>
            </w:r>
            <w:r>
              <w:rPr>
                <w:rFonts w:hint="eastAsia" w:cs="Times New Roman"/>
                <w:szCs w:val="21"/>
              </w:rPr>
              <w:t>分</w:t>
            </w:r>
          </w:p>
        </w:tc>
        <w:tc>
          <w:tcPr>
            <w:tcW w:w="5672" w:type="dxa"/>
            <w:vAlign w:val="center"/>
          </w:tcPr>
          <w:p>
            <w:pPr>
              <w:tabs>
                <w:tab w:val="center" w:pos="540"/>
                <w:tab w:val="center" w:pos="1080"/>
              </w:tabs>
              <w:ind w:firstLine="480"/>
              <w:rPr>
                <w:szCs w:val="21"/>
              </w:rPr>
            </w:pPr>
            <w:r>
              <w:rPr>
                <w:rFonts w:hint="eastAsia"/>
                <w:szCs w:val="21"/>
              </w:rPr>
              <w:t>按申报指南</w:t>
            </w:r>
            <w:r>
              <w:rPr>
                <w:szCs w:val="21"/>
              </w:rPr>
              <w:t>/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p>
            <w:pPr>
              <w:tabs>
                <w:tab w:val="center" w:pos="540"/>
                <w:tab w:val="center" w:pos="1080"/>
              </w:tabs>
              <w:adjustRightInd w:val="0"/>
              <w:snapToGrid w:val="0"/>
              <w:ind w:firstLine="480"/>
              <w:rPr>
                <w:rFonts w:cs="Times New Roman"/>
                <w:szCs w:val="21"/>
              </w:rPr>
            </w:pPr>
            <w:r>
              <w:rPr>
                <w:rFonts w:hint="eastAsia"/>
                <w:szCs w:val="21"/>
              </w:rPr>
              <w:t>注：申报价格修正按如下原则进行修正：响应报价（即总价金额）与按单价汇总金额不一致的，以单价金额计算结果为准修正总计金额。</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val="en-US" w:eastAsia="zh-CN"/>
              </w:rPr>
              <w:t>65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szCs w:val="21"/>
              </w:rPr>
            </w:pPr>
            <w:r>
              <w:rPr>
                <w:rFonts w:hint="eastAsia" w:cs="Times New Roman"/>
                <w:b/>
                <w:szCs w:val="21"/>
              </w:rPr>
              <w:t>二、商务部分（</w:t>
            </w:r>
            <w:r>
              <w:rPr>
                <w:rFonts w:hint="eastAsia" w:cs="Times New Roman"/>
                <w:b/>
                <w:szCs w:val="21"/>
                <w:lang w:val="en-US" w:eastAsia="zh-CN"/>
              </w:rPr>
              <w:t>5</w:t>
            </w:r>
            <w:r>
              <w:rPr>
                <w:rFonts w:hint="eastAsia" w:cs="Times New Roman"/>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3" w:hRule="atLeast"/>
        </w:trPr>
        <w:tc>
          <w:tcPr>
            <w:tcW w:w="1091" w:type="dxa"/>
            <w:vAlign w:val="center"/>
          </w:tcPr>
          <w:p>
            <w:pPr>
              <w:ind w:firstLine="0" w:firstLineChars="0"/>
              <w:rPr>
                <w:rFonts w:cs="Times New Roman"/>
                <w:szCs w:val="21"/>
              </w:rPr>
            </w:pPr>
            <w:r>
              <w:rPr>
                <w:rFonts w:hint="eastAsia" w:cs="Times New Roman"/>
                <w:szCs w:val="21"/>
              </w:rPr>
              <w:t>类似项目业绩</w:t>
            </w:r>
          </w:p>
        </w:tc>
        <w:tc>
          <w:tcPr>
            <w:tcW w:w="795" w:type="dxa"/>
            <w:vAlign w:val="center"/>
          </w:tcPr>
          <w:p>
            <w:pPr>
              <w:tabs>
                <w:tab w:val="center" w:pos="540"/>
                <w:tab w:val="center" w:pos="1080"/>
              </w:tabs>
              <w:ind w:firstLine="0" w:firstLineChars="0"/>
              <w:rPr>
                <w:rFonts w:cs="Times New Roman"/>
                <w:szCs w:val="21"/>
              </w:rPr>
            </w:pPr>
            <w:r>
              <w:rPr>
                <w:rFonts w:hint="eastAsia" w:cs="Times New Roman"/>
                <w:szCs w:val="21"/>
                <w:lang w:val="en-US" w:eastAsia="zh-CN"/>
              </w:rPr>
              <w:t>5</w:t>
            </w:r>
            <w:r>
              <w:rPr>
                <w:rFonts w:hint="eastAsia" w:cs="Times New Roman"/>
                <w:szCs w:val="21"/>
              </w:rPr>
              <w:t>分</w:t>
            </w:r>
          </w:p>
        </w:tc>
        <w:tc>
          <w:tcPr>
            <w:tcW w:w="5672" w:type="dxa"/>
            <w:vAlign w:val="center"/>
          </w:tcPr>
          <w:p>
            <w:pPr>
              <w:tabs>
                <w:tab w:val="center" w:pos="540"/>
                <w:tab w:val="center" w:pos="1080"/>
              </w:tabs>
              <w:adjustRightInd w:val="0"/>
              <w:snapToGrid w:val="0"/>
              <w:ind w:firstLine="480"/>
              <w:rPr>
                <w:szCs w:val="21"/>
              </w:rPr>
            </w:pPr>
            <w:r>
              <w:rPr>
                <w:rFonts w:hint="eastAsia"/>
                <w:szCs w:val="21"/>
              </w:rPr>
              <w:t>申报单位近三年承担过类似项目业绩，每提供1个业绩得</w:t>
            </w:r>
            <w:r>
              <w:rPr>
                <w:rFonts w:hint="eastAsia"/>
                <w:szCs w:val="21"/>
                <w:lang w:val="en-US" w:eastAsia="zh-CN"/>
              </w:rPr>
              <w:t>1</w:t>
            </w:r>
            <w:r>
              <w:rPr>
                <w:rFonts w:hint="eastAsia"/>
                <w:szCs w:val="21"/>
              </w:rPr>
              <w:t>分，最高得</w:t>
            </w:r>
            <w:r>
              <w:rPr>
                <w:rFonts w:hint="eastAsia"/>
                <w:szCs w:val="21"/>
                <w:lang w:val="en-US" w:eastAsia="zh-CN"/>
              </w:rPr>
              <w:t>5</w:t>
            </w:r>
            <w:r>
              <w:rPr>
                <w:rFonts w:hint="eastAsia"/>
                <w:szCs w:val="21"/>
              </w:rPr>
              <w:t>分。</w:t>
            </w:r>
          </w:p>
          <w:p>
            <w:pPr>
              <w:tabs>
                <w:tab w:val="center" w:pos="540"/>
                <w:tab w:val="center" w:pos="1080"/>
              </w:tabs>
              <w:adjustRightInd w:val="0"/>
              <w:snapToGrid w:val="0"/>
              <w:ind w:firstLine="480"/>
              <w:rPr>
                <w:rFonts w:cs="Times New Roman"/>
                <w:szCs w:val="21"/>
              </w:rPr>
            </w:pPr>
            <w:r>
              <w:rPr>
                <w:rFonts w:hint="eastAsia"/>
                <w:szCs w:val="21"/>
              </w:rPr>
              <w:t>近三年是指</w:t>
            </w:r>
            <w:r>
              <w:rPr>
                <w:szCs w:val="21"/>
              </w:rPr>
              <w:t xml:space="preserve"> </w:t>
            </w:r>
            <w:r>
              <w:rPr>
                <w:rFonts w:hint="eastAsia"/>
                <w:szCs w:val="21"/>
              </w:rPr>
              <w:t>201</w:t>
            </w:r>
            <w:r>
              <w:rPr>
                <w:szCs w:val="21"/>
              </w:rPr>
              <w:t>9</w:t>
            </w:r>
            <w:r>
              <w:rPr>
                <w:rFonts w:hint="eastAsia"/>
                <w:szCs w:val="21"/>
              </w:rPr>
              <w:t>年12月至申报文件递交截止日（以合同签订日期为准），业绩以提供的合同为准，要求必须提供加盖公章的合同首页、服务内容页、合同金额所在页、签字盖章页复印件等。</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val="en-US"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szCs w:val="21"/>
              </w:rPr>
            </w:pPr>
            <w:r>
              <w:rPr>
                <w:rFonts w:hint="eastAsia" w:cs="Times New Roman"/>
                <w:b/>
                <w:szCs w:val="21"/>
              </w:rPr>
              <w:t>三、技术部分（</w:t>
            </w:r>
            <w:r>
              <w:rPr>
                <w:rFonts w:hint="eastAsia" w:cs="Times New Roman"/>
                <w:b/>
                <w:szCs w:val="21"/>
                <w:lang w:val="en-US" w:eastAsia="zh-CN"/>
              </w:rPr>
              <w:t>30</w:t>
            </w:r>
            <w:r>
              <w:rPr>
                <w:rFonts w:hint="eastAsia" w:cs="Times New Roman"/>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atLeast"/>
        </w:trPr>
        <w:tc>
          <w:tcPr>
            <w:tcW w:w="1091" w:type="dxa"/>
            <w:vAlign w:val="center"/>
          </w:tcPr>
          <w:p>
            <w:pPr>
              <w:ind w:firstLine="0" w:firstLineChars="0"/>
              <w:rPr>
                <w:rFonts w:cs="Times New Roman"/>
                <w:szCs w:val="21"/>
              </w:rPr>
            </w:pPr>
            <w:r>
              <w:rPr>
                <w:rFonts w:hint="eastAsia" w:cs="Times New Roman"/>
                <w:szCs w:val="21"/>
              </w:rPr>
              <w:t>项目团队</w:t>
            </w: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val="en-US" w:eastAsia="zh-CN"/>
              </w:rPr>
              <w:t>5</w:t>
            </w:r>
            <w:r>
              <w:rPr>
                <w:rFonts w:hint="eastAsia" w:cs="Times New Roman"/>
                <w:szCs w:val="21"/>
              </w:rPr>
              <w:t>分</w:t>
            </w:r>
          </w:p>
        </w:tc>
        <w:tc>
          <w:tcPr>
            <w:tcW w:w="5672" w:type="dxa"/>
            <w:tcBorders>
              <w:bottom w:val="single" w:color="auto" w:sz="4" w:space="0"/>
            </w:tcBorders>
            <w:vAlign w:val="center"/>
          </w:tcPr>
          <w:p>
            <w:pPr>
              <w:widowControl/>
              <w:snapToGrid w:val="0"/>
              <w:spacing w:line="360" w:lineRule="exact"/>
              <w:ind w:firstLine="480"/>
              <w:jc w:val="left"/>
              <w:rPr>
                <w:rFonts w:cs="Times New Roman"/>
                <w:szCs w:val="21"/>
              </w:rPr>
            </w:pPr>
            <w:r>
              <w:rPr>
                <w:rFonts w:hint="eastAsia" w:cs="Times New Roman"/>
                <w:szCs w:val="21"/>
              </w:rPr>
              <w:t>项目团队人员构成合理、分工明确，涵盖项目负责人等专业技术人员。需提供项目团队所有成员的信息，包括姓名、职业证书、相关工作经历等详细证明材料。需配备项目经理，并承诺在</w:t>
            </w:r>
            <w:r>
              <w:rPr>
                <w:rFonts w:hint="eastAsia" w:cs="Times New Roman"/>
                <w:szCs w:val="21"/>
                <w:lang w:val="en-US" w:eastAsia="zh-CN"/>
              </w:rPr>
              <w:t>施工</w:t>
            </w:r>
            <w:r>
              <w:rPr>
                <w:rFonts w:hint="eastAsia" w:cs="Times New Roman"/>
                <w:szCs w:val="21"/>
              </w:rPr>
              <w:t>期间全程在场。</w:t>
            </w:r>
          </w:p>
          <w:p>
            <w:pPr>
              <w:widowControl/>
              <w:snapToGrid w:val="0"/>
              <w:spacing w:line="360" w:lineRule="exact"/>
              <w:ind w:firstLine="480"/>
              <w:jc w:val="left"/>
              <w:rPr>
                <w:rFonts w:cs="Times New Roman"/>
                <w:szCs w:val="21"/>
              </w:rPr>
            </w:pPr>
            <w:r>
              <w:rPr>
                <w:rFonts w:cs="Times New Roman"/>
                <w:szCs w:val="21"/>
              </w:rPr>
              <w:t>完全满足上述要求</w:t>
            </w:r>
            <w:r>
              <w:rPr>
                <w:rFonts w:hint="eastAsia" w:cs="Times New Roman"/>
                <w:szCs w:val="21"/>
              </w:rPr>
              <w:t>，</w:t>
            </w:r>
            <w:r>
              <w:rPr>
                <w:rFonts w:cs="Times New Roman"/>
                <w:szCs w:val="21"/>
              </w:rPr>
              <w:t>得</w:t>
            </w:r>
            <w:r>
              <w:rPr>
                <w:rFonts w:hint="eastAsia" w:cs="Times New Roman"/>
                <w:szCs w:val="21"/>
                <w:lang w:eastAsia="zh-CN"/>
              </w:rPr>
              <w:t>5</w:t>
            </w:r>
            <w:r>
              <w:rPr>
                <w:rFonts w:hint="eastAsia" w:cs="Times New Roman"/>
                <w:szCs w:val="21"/>
              </w:rPr>
              <w:t>分；</w:t>
            </w:r>
          </w:p>
          <w:p>
            <w:pPr>
              <w:widowControl/>
              <w:snapToGrid w:val="0"/>
              <w:spacing w:line="360" w:lineRule="exact"/>
              <w:ind w:firstLine="480"/>
              <w:jc w:val="left"/>
              <w:rPr>
                <w:rFonts w:cs="Times New Roman"/>
                <w:szCs w:val="21"/>
              </w:rPr>
            </w:pPr>
            <w:r>
              <w:rPr>
                <w:rFonts w:hint="eastAsia" w:cs="Times New Roman"/>
                <w:szCs w:val="21"/>
              </w:rPr>
              <w:t>基本满足上述要求，得</w:t>
            </w:r>
            <w:r>
              <w:rPr>
                <w:rFonts w:hint="eastAsia" w:cs="Times New Roman"/>
                <w:szCs w:val="21"/>
                <w:lang w:val="en-US" w:eastAsia="zh-CN"/>
              </w:rPr>
              <w:t>2</w:t>
            </w:r>
            <w:r>
              <w:rPr>
                <w:rFonts w:hint="eastAsia" w:cs="Times New Roman"/>
                <w:szCs w:val="21"/>
              </w:rPr>
              <w:t>分；</w:t>
            </w:r>
          </w:p>
          <w:p>
            <w:pPr>
              <w:widowControl/>
              <w:snapToGrid w:val="0"/>
              <w:spacing w:line="360" w:lineRule="exact"/>
              <w:ind w:firstLine="480"/>
              <w:jc w:val="left"/>
              <w:rPr>
                <w:rFonts w:cs="Times New Roman"/>
                <w:szCs w:val="21"/>
              </w:rPr>
            </w:pPr>
            <w:r>
              <w:rPr>
                <w:rFonts w:hint="eastAsia" w:cs="Times New Roman"/>
                <w:szCs w:val="21"/>
              </w:rPr>
              <w:t>不满足上述要求，得0分。</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091" w:type="dxa"/>
            <w:vMerge w:val="restart"/>
            <w:vAlign w:val="center"/>
          </w:tcPr>
          <w:p>
            <w:pPr>
              <w:ind w:firstLine="0" w:firstLineChars="0"/>
              <w:rPr>
                <w:rFonts w:hint="default" w:eastAsia="宋体" w:cs="Times New Roman"/>
                <w:szCs w:val="21"/>
                <w:lang w:val="en-US" w:eastAsia="zh-CN"/>
              </w:rPr>
            </w:pPr>
            <w:r>
              <w:rPr>
                <w:rFonts w:hint="eastAsia" w:cs="Times New Roman"/>
                <w:szCs w:val="21"/>
                <w:lang w:val="en-US" w:eastAsia="zh-CN"/>
              </w:rPr>
              <w:t>工艺要求</w:t>
            </w: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eastAsia="zh-CN"/>
              </w:rPr>
              <w:t>5</w:t>
            </w:r>
            <w:r>
              <w:rPr>
                <w:rFonts w:hint="eastAsia" w:cs="Times New Roman"/>
                <w:szCs w:val="21"/>
              </w:rPr>
              <w:t>分</w:t>
            </w:r>
          </w:p>
        </w:tc>
        <w:tc>
          <w:tcPr>
            <w:tcW w:w="5672" w:type="dxa"/>
            <w:vAlign w:val="center"/>
          </w:tcPr>
          <w:p>
            <w:pPr>
              <w:widowControl/>
              <w:snapToGrid w:val="0"/>
              <w:spacing w:line="360" w:lineRule="exact"/>
              <w:ind w:firstLine="480"/>
              <w:jc w:val="left"/>
              <w:rPr>
                <w:rFonts w:cs="Times New Roman"/>
                <w:szCs w:val="21"/>
              </w:rPr>
            </w:pPr>
            <w:r>
              <w:rPr>
                <w:rFonts w:hint="eastAsia" w:cs="Times New Roman"/>
                <w:szCs w:val="21"/>
              </w:rPr>
              <w:t>在保持展厅原基色的前提下，铲除全部空鼓、开裂、脱落处的墙面，铲到砂浆层后贴尼龙网格布修补、刮耐水腻子、墙固胶、找平、打磨、整体墙面刷二遍漆。墙面恢复平整、无裂纹，动线笔直，颜色与原墙色差小。门框造型需在外层刷一遍透明罩面保护漆，保证修复如新、牢固美观。需根据采购需求制定详细方案。</w:t>
            </w:r>
          </w:p>
          <w:p>
            <w:pPr>
              <w:widowControl/>
              <w:snapToGrid w:val="0"/>
              <w:spacing w:line="360" w:lineRule="exact"/>
              <w:ind w:firstLine="480"/>
              <w:jc w:val="left"/>
              <w:rPr>
                <w:rFonts w:cs="Times New Roman"/>
                <w:szCs w:val="21"/>
              </w:rPr>
            </w:pPr>
            <w:r>
              <w:rPr>
                <w:rFonts w:hint="eastAsia" w:cs="Times New Roman"/>
                <w:szCs w:val="21"/>
              </w:rPr>
              <w:t>方案清晰完整、具体全面、针对性强，完全满足采购需求，得</w:t>
            </w:r>
            <w:r>
              <w:rPr>
                <w:rFonts w:hint="eastAsia" w:cs="Times New Roman"/>
                <w:szCs w:val="21"/>
                <w:lang w:eastAsia="zh-CN"/>
              </w:rPr>
              <w:t>5</w:t>
            </w:r>
            <w:r>
              <w:rPr>
                <w:rFonts w:cs="Times New Roman"/>
                <w:szCs w:val="21"/>
              </w:rPr>
              <w:t>分；</w:t>
            </w:r>
          </w:p>
          <w:p>
            <w:pPr>
              <w:widowControl/>
              <w:snapToGrid w:val="0"/>
              <w:spacing w:line="360" w:lineRule="exact"/>
              <w:ind w:firstLine="480"/>
              <w:jc w:val="left"/>
              <w:rPr>
                <w:rFonts w:cs="Times New Roman"/>
                <w:szCs w:val="21"/>
              </w:rPr>
            </w:pPr>
            <w:r>
              <w:rPr>
                <w:rFonts w:cs="Times New Roman"/>
                <w:szCs w:val="21"/>
              </w:rPr>
              <w:t>提供了常规、通用的方案，基本符合要求，得</w:t>
            </w:r>
            <w:r>
              <w:rPr>
                <w:rFonts w:hint="eastAsia" w:cs="Times New Roman"/>
                <w:szCs w:val="21"/>
                <w:lang w:val="en-US" w:eastAsia="zh-CN"/>
              </w:rPr>
              <w:t>2</w:t>
            </w:r>
            <w:r>
              <w:rPr>
                <w:rFonts w:cs="Times New Roman"/>
                <w:szCs w:val="21"/>
              </w:rPr>
              <w:t>分；</w:t>
            </w:r>
          </w:p>
          <w:p>
            <w:pPr>
              <w:widowControl/>
              <w:snapToGrid w:val="0"/>
              <w:spacing w:line="360" w:lineRule="exact"/>
              <w:ind w:firstLine="480"/>
              <w:jc w:val="left"/>
              <w:rPr>
                <w:rFonts w:cs="仿宋_GB2312"/>
                <w:szCs w:val="21"/>
                <w:lang w:bidi="ar"/>
              </w:rPr>
            </w:pPr>
            <w:r>
              <w:rPr>
                <w:rFonts w:cs="Times New Roman"/>
                <w:szCs w:val="21"/>
              </w:rPr>
              <w:t>方案有欠缺或存在明显问题</w:t>
            </w:r>
            <w:r>
              <w:rPr>
                <w:rFonts w:hint="eastAsia" w:cs="Times New Roman"/>
                <w:szCs w:val="21"/>
              </w:rPr>
              <w:t>或未提供方案，</w:t>
            </w:r>
            <w:r>
              <w:rPr>
                <w:rFonts w:cs="Times New Roman"/>
                <w:szCs w:val="21"/>
              </w:rPr>
              <w:t>得0分。</w:t>
            </w:r>
          </w:p>
        </w:tc>
        <w:tc>
          <w:tcPr>
            <w:tcW w:w="1048" w:type="dxa"/>
            <w:vAlign w:val="center"/>
          </w:tcPr>
          <w:p>
            <w:pPr>
              <w:ind w:firstLine="0" w:firstLineChars="0"/>
              <w:rPr>
                <w:szCs w:val="21"/>
              </w:rPr>
            </w:pPr>
            <w:r>
              <w:rPr>
                <w:rFonts w:hint="eastAsia" w:cs="Times New Roman"/>
                <w:szCs w:val="21"/>
              </w:rPr>
              <w:t>0-</w:t>
            </w:r>
            <w:r>
              <w:rPr>
                <w:rFonts w:hint="eastAsia" w:cs="Times New Roman"/>
                <w:szCs w:val="21"/>
                <w:lang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091" w:type="dxa"/>
            <w:vMerge w:val="continue"/>
            <w:vAlign w:val="center"/>
          </w:tcPr>
          <w:p>
            <w:pPr>
              <w:ind w:firstLine="0" w:firstLineChars="0"/>
              <w:rPr>
                <w:rFonts w:cs="Times New Roman"/>
                <w:szCs w:val="21"/>
              </w:rPr>
            </w:pP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eastAsia="zh-CN"/>
              </w:rPr>
              <w:t>5</w:t>
            </w:r>
            <w:r>
              <w:rPr>
                <w:rFonts w:hint="eastAsia" w:cs="Times New Roman"/>
                <w:szCs w:val="21"/>
              </w:rPr>
              <w:t>分</w:t>
            </w:r>
          </w:p>
        </w:tc>
        <w:tc>
          <w:tcPr>
            <w:tcW w:w="5672" w:type="dxa"/>
            <w:vAlign w:val="center"/>
          </w:tcPr>
          <w:p>
            <w:pPr>
              <w:ind w:firstLine="480"/>
              <w:rPr>
                <w:rFonts w:cs="仿宋_GB2312"/>
                <w:szCs w:val="21"/>
                <w:lang w:bidi="ar"/>
              </w:rPr>
            </w:pPr>
            <w:r>
              <w:rPr>
                <w:rFonts w:hint="eastAsia" w:cs="仿宋_GB2312"/>
                <w:szCs w:val="21"/>
                <w:lang w:bidi="ar"/>
              </w:rPr>
              <w:t>全部</w:t>
            </w:r>
            <w:r>
              <w:rPr>
                <w:rFonts w:hint="eastAsia" w:cs="仿宋_GB2312"/>
                <w:szCs w:val="21"/>
                <w:lang w:val="en-US" w:eastAsia="zh-CN" w:bidi="ar"/>
              </w:rPr>
              <w:t>涂料</w:t>
            </w:r>
            <w:r>
              <w:rPr>
                <w:rFonts w:hint="eastAsia" w:cs="仿宋_GB2312"/>
                <w:szCs w:val="21"/>
                <w:lang w:bidi="ar"/>
              </w:rPr>
              <w:t>选用符合国家标准的绿色、环保、安全防火材料。油漆选用无甲醛、无异味、高质量的水性油漆。需根据采购需求制定详细</w:t>
            </w:r>
            <w:r>
              <w:rPr>
                <w:rFonts w:hint="eastAsia" w:cs="仿宋_GB2312"/>
                <w:szCs w:val="21"/>
                <w:lang w:val="en-US" w:eastAsia="zh-CN" w:bidi="ar"/>
              </w:rPr>
              <w:t>用料的品牌和型号</w:t>
            </w:r>
            <w:r>
              <w:rPr>
                <w:rFonts w:hint="eastAsia" w:cs="仿宋_GB2312"/>
                <w:szCs w:val="21"/>
                <w:lang w:bidi="ar"/>
              </w:rPr>
              <w:t>。</w:t>
            </w:r>
          </w:p>
          <w:p>
            <w:pPr>
              <w:widowControl/>
              <w:snapToGrid w:val="0"/>
              <w:spacing w:line="360" w:lineRule="exact"/>
              <w:ind w:firstLine="480"/>
              <w:jc w:val="left"/>
              <w:rPr>
                <w:rFonts w:cs="Times New Roman"/>
                <w:szCs w:val="21"/>
              </w:rPr>
            </w:pPr>
            <w:r>
              <w:rPr>
                <w:rFonts w:hint="eastAsia" w:cs="Times New Roman"/>
                <w:szCs w:val="21"/>
              </w:rPr>
              <w:t>方案清晰完整、具体全面、针对性强，完全满足采购需求，得</w:t>
            </w:r>
            <w:r>
              <w:rPr>
                <w:rFonts w:hint="eastAsia" w:cs="Times New Roman"/>
                <w:szCs w:val="21"/>
                <w:lang w:eastAsia="zh-CN"/>
              </w:rPr>
              <w:t>5</w:t>
            </w:r>
            <w:r>
              <w:rPr>
                <w:rFonts w:cs="Times New Roman"/>
                <w:szCs w:val="21"/>
              </w:rPr>
              <w:t>分；</w:t>
            </w:r>
          </w:p>
          <w:p>
            <w:pPr>
              <w:widowControl/>
              <w:snapToGrid w:val="0"/>
              <w:spacing w:line="360" w:lineRule="exact"/>
              <w:ind w:firstLine="480"/>
              <w:jc w:val="left"/>
              <w:rPr>
                <w:rFonts w:cs="Times New Roman"/>
                <w:szCs w:val="21"/>
              </w:rPr>
            </w:pPr>
            <w:r>
              <w:rPr>
                <w:rFonts w:cs="Times New Roman"/>
                <w:szCs w:val="21"/>
              </w:rPr>
              <w:t>提供了常规、通用的方案，基本符合要求，得</w:t>
            </w:r>
            <w:r>
              <w:rPr>
                <w:rFonts w:hint="eastAsia" w:cs="Times New Roman"/>
                <w:szCs w:val="21"/>
                <w:lang w:val="en-US" w:eastAsia="zh-CN"/>
              </w:rPr>
              <w:t>2</w:t>
            </w:r>
            <w:r>
              <w:rPr>
                <w:rFonts w:cs="Times New Roman"/>
                <w:szCs w:val="21"/>
              </w:rPr>
              <w:t>分；</w:t>
            </w:r>
          </w:p>
          <w:p>
            <w:pPr>
              <w:widowControl/>
              <w:snapToGrid w:val="0"/>
              <w:spacing w:line="360" w:lineRule="exact"/>
              <w:ind w:firstLine="480"/>
              <w:jc w:val="left"/>
              <w:rPr>
                <w:rFonts w:cs="仿宋_GB2312"/>
                <w:szCs w:val="21"/>
                <w:lang w:bidi="ar"/>
              </w:rPr>
            </w:pPr>
            <w:r>
              <w:rPr>
                <w:rFonts w:cs="Times New Roman"/>
                <w:szCs w:val="21"/>
              </w:rPr>
              <w:t>方案有欠缺或存在明显问题</w:t>
            </w:r>
            <w:r>
              <w:rPr>
                <w:rFonts w:hint="eastAsia" w:cs="Times New Roman"/>
                <w:szCs w:val="21"/>
              </w:rPr>
              <w:t>或未提供方案，</w:t>
            </w:r>
            <w:r>
              <w:rPr>
                <w:rFonts w:cs="Times New Roman"/>
                <w:szCs w:val="21"/>
              </w:rPr>
              <w:t>得0分。</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091" w:type="dxa"/>
            <w:vMerge w:val="continue"/>
            <w:vAlign w:val="center"/>
          </w:tcPr>
          <w:p>
            <w:pPr>
              <w:ind w:firstLine="480"/>
              <w:rPr>
                <w:rFonts w:cs="Times New Roman"/>
                <w:szCs w:val="21"/>
              </w:rPr>
            </w:pP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eastAsia="zh-CN"/>
              </w:rPr>
              <w:t>5</w:t>
            </w:r>
            <w:r>
              <w:rPr>
                <w:rFonts w:hint="eastAsia" w:cs="Times New Roman"/>
                <w:szCs w:val="21"/>
              </w:rPr>
              <w:t>分</w:t>
            </w:r>
          </w:p>
        </w:tc>
        <w:tc>
          <w:tcPr>
            <w:tcW w:w="5672" w:type="dxa"/>
            <w:vAlign w:val="center"/>
          </w:tcPr>
          <w:p>
            <w:pPr>
              <w:ind w:firstLine="480"/>
              <w:rPr>
                <w:rFonts w:cs="仿宋_GB2312"/>
                <w:szCs w:val="21"/>
                <w:lang w:bidi="ar"/>
              </w:rPr>
            </w:pPr>
            <w:r>
              <w:rPr>
                <w:rFonts w:hint="eastAsia" w:cs="仿宋_GB2312"/>
                <w:szCs w:val="21"/>
                <w:lang w:bidi="ar"/>
              </w:rPr>
              <w:t>踢脚线用不锈钢材质，踢脚线上木制装饰条用材应与原材料基本保持一致，并刷漆。</w:t>
            </w:r>
          </w:p>
          <w:p>
            <w:pPr>
              <w:widowControl/>
              <w:snapToGrid w:val="0"/>
              <w:spacing w:line="360" w:lineRule="exact"/>
              <w:ind w:firstLine="480"/>
              <w:jc w:val="left"/>
              <w:rPr>
                <w:rFonts w:cs="Times New Roman"/>
                <w:szCs w:val="21"/>
              </w:rPr>
            </w:pPr>
            <w:r>
              <w:rPr>
                <w:rFonts w:hint="eastAsia" w:cs="Times New Roman"/>
                <w:szCs w:val="21"/>
              </w:rPr>
              <w:t>方案清晰完整、具体全面、针对性强，完全满足采购需求，得</w:t>
            </w:r>
            <w:r>
              <w:rPr>
                <w:rFonts w:hint="eastAsia" w:cs="Times New Roman"/>
                <w:szCs w:val="21"/>
                <w:lang w:eastAsia="zh-CN"/>
              </w:rPr>
              <w:t>5</w:t>
            </w:r>
            <w:r>
              <w:rPr>
                <w:rFonts w:cs="Times New Roman"/>
                <w:szCs w:val="21"/>
              </w:rPr>
              <w:t>分；</w:t>
            </w:r>
          </w:p>
          <w:p>
            <w:pPr>
              <w:widowControl/>
              <w:snapToGrid w:val="0"/>
              <w:spacing w:line="360" w:lineRule="exact"/>
              <w:ind w:firstLine="480"/>
              <w:jc w:val="left"/>
              <w:rPr>
                <w:rFonts w:cs="Times New Roman"/>
                <w:szCs w:val="21"/>
              </w:rPr>
            </w:pPr>
            <w:r>
              <w:rPr>
                <w:rFonts w:cs="Times New Roman"/>
                <w:szCs w:val="21"/>
              </w:rPr>
              <w:t>提供了常规、通用的方案，基本符合要求，得</w:t>
            </w:r>
            <w:r>
              <w:rPr>
                <w:rFonts w:hint="eastAsia" w:cs="Times New Roman"/>
                <w:szCs w:val="21"/>
                <w:lang w:val="en-US" w:eastAsia="zh-CN"/>
              </w:rPr>
              <w:t>2</w:t>
            </w:r>
            <w:r>
              <w:rPr>
                <w:rFonts w:cs="Times New Roman"/>
                <w:szCs w:val="21"/>
              </w:rPr>
              <w:t>分；</w:t>
            </w:r>
          </w:p>
          <w:p>
            <w:pPr>
              <w:ind w:firstLine="480"/>
              <w:rPr>
                <w:rFonts w:cs="仿宋_GB2312"/>
                <w:szCs w:val="21"/>
                <w:lang w:bidi="ar"/>
              </w:rPr>
            </w:pPr>
            <w:r>
              <w:rPr>
                <w:rFonts w:cs="Times New Roman"/>
                <w:szCs w:val="21"/>
              </w:rPr>
              <w:t>方案有欠缺或存在明显问题</w:t>
            </w:r>
            <w:r>
              <w:rPr>
                <w:rFonts w:hint="eastAsia" w:cs="Times New Roman"/>
                <w:szCs w:val="21"/>
              </w:rPr>
              <w:t>或未提供方案，</w:t>
            </w:r>
            <w:r>
              <w:rPr>
                <w:rFonts w:cs="Times New Roman"/>
                <w:szCs w:val="21"/>
              </w:rPr>
              <w:t>得0分。</w:t>
            </w:r>
          </w:p>
        </w:tc>
        <w:tc>
          <w:tcPr>
            <w:tcW w:w="1048" w:type="dxa"/>
            <w:vAlign w:val="center"/>
          </w:tcPr>
          <w:p>
            <w:pPr>
              <w:ind w:firstLine="0" w:firstLineChars="0"/>
              <w:rPr>
                <w:szCs w:val="21"/>
              </w:rPr>
            </w:pPr>
            <w:r>
              <w:rPr>
                <w:rFonts w:hint="eastAsia" w:cs="Times New Roman"/>
                <w:szCs w:val="21"/>
              </w:rPr>
              <w:t>0-</w:t>
            </w:r>
            <w:r>
              <w:rPr>
                <w:rFonts w:hint="eastAsia" w:cs="Times New Roman"/>
                <w:szCs w:val="21"/>
                <w:lang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4" w:hRule="atLeast"/>
        </w:trPr>
        <w:tc>
          <w:tcPr>
            <w:tcW w:w="1091" w:type="dxa"/>
            <w:vAlign w:val="center"/>
          </w:tcPr>
          <w:p>
            <w:pPr>
              <w:ind w:firstLine="0" w:firstLineChars="0"/>
              <w:rPr>
                <w:rFonts w:cs="Times New Roman"/>
                <w:szCs w:val="21"/>
              </w:rPr>
            </w:pPr>
            <w:r>
              <w:rPr>
                <w:rFonts w:hint="eastAsia" w:cs="Times New Roman"/>
                <w:szCs w:val="21"/>
              </w:rPr>
              <w:t>项目进度计划及控制措施</w:t>
            </w: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val="en-US" w:eastAsia="zh-CN"/>
              </w:rPr>
              <w:t>5</w:t>
            </w:r>
            <w:r>
              <w:rPr>
                <w:rFonts w:hint="eastAsia" w:cs="Times New Roman"/>
                <w:szCs w:val="21"/>
              </w:rPr>
              <w:t>分</w:t>
            </w:r>
          </w:p>
        </w:tc>
        <w:tc>
          <w:tcPr>
            <w:tcW w:w="5672" w:type="dxa"/>
            <w:vAlign w:val="center"/>
          </w:tcPr>
          <w:p>
            <w:pPr>
              <w:widowControl/>
              <w:snapToGrid w:val="0"/>
              <w:spacing w:line="360" w:lineRule="exact"/>
              <w:ind w:firstLine="480"/>
              <w:jc w:val="left"/>
              <w:rPr>
                <w:rFonts w:cs="仿宋_GB2312"/>
                <w:szCs w:val="21"/>
                <w:lang w:bidi="ar"/>
              </w:rPr>
            </w:pPr>
            <w:r>
              <w:rPr>
                <w:rFonts w:hint="eastAsia" w:cs="仿宋_GB2312"/>
                <w:szCs w:val="21"/>
                <w:lang w:bidi="ar"/>
              </w:rPr>
              <w:t>计划安排合理，细节考虑周全，能确保项目按规定要求如期完成。对有可能存在的拖慢项目进度的情况（如疫情导致的备货、进场安装延后等）有详细的应对方案。</w:t>
            </w:r>
          </w:p>
          <w:p>
            <w:pPr>
              <w:widowControl/>
              <w:snapToGrid w:val="0"/>
              <w:spacing w:line="360" w:lineRule="exact"/>
              <w:ind w:firstLine="480"/>
              <w:jc w:val="left"/>
              <w:rPr>
                <w:rFonts w:cs="仿宋_GB2312"/>
                <w:szCs w:val="21"/>
                <w:lang w:bidi="ar"/>
              </w:rPr>
            </w:pPr>
            <w:r>
              <w:rPr>
                <w:rFonts w:hint="eastAsia" w:cs="仿宋_GB2312"/>
                <w:szCs w:val="21"/>
                <w:lang w:bidi="ar"/>
              </w:rPr>
              <w:t>提供方案合理高效、流程规范、内容全面，</w:t>
            </w:r>
            <w:r>
              <w:rPr>
                <w:rFonts w:hint="eastAsia" w:cs="Times New Roman"/>
                <w:szCs w:val="21"/>
              </w:rPr>
              <w:t>完全满足采购需求，</w:t>
            </w:r>
            <w:r>
              <w:rPr>
                <w:rFonts w:hint="eastAsia" w:cs="仿宋_GB2312"/>
                <w:szCs w:val="21"/>
                <w:lang w:bidi="ar"/>
              </w:rPr>
              <w:t>得</w:t>
            </w:r>
            <w:r>
              <w:rPr>
                <w:rFonts w:hint="eastAsia" w:cs="仿宋_GB2312"/>
                <w:szCs w:val="21"/>
                <w:lang w:val="en-US" w:eastAsia="zh-CN" w:bidi="ar"/>
              </w:rPr>
              <w:t>5</w:t>
            </w:r>
            <w:r>
              <w:rPr>
                <w:rFonts w:hint="eastAsia" w:cs="仿宋_GB2312"/>
                <w:szCs w:val="21"/>
                <w:lang w:bidi="ar"/>
              </w:rPr>
              <w:t>分；</w:t>
            </w:r>
          </w:p>
          <w:p>
            <w:pPr>
              <w:widowControl/>
              <w:snapToGrid w:val="0"/>
              <w:spacing w:line="360" w:lineRule="exact"/>
              <w:ind w:firstLine="480"/>
              <w:jc w:val="left"/>
              <w:rPr>
                <w:rFonts w:cs="仿宋_GB2312"/>
                <w:szCs w:val="21"/>
                <w:lang w:bidi="ar"/>
              </w:rPr>
            </w:pPr>
            <w:r>
              <w:rPr>
                <w:rFonts w:cs="Times New Roman"/>
                <w:szCs w:val="21"/>
              </w:rPr>
              <w:t>提供了常规、通用的方案，基本符合要求，</w:t>
            </w:r>
            <w:r>
              <w:rPr>
                <w:rFonts w:hint="eastAsia" w:cs="仿宋_GB2312"/>
                <w:szCs w:val="21"/>
                <w:lang w:bidi="ar"/>
              </w:rPr>
              <w:t>得</w:t>
            </w:r>
            <w:r>
              <w:rPr>
                <w:rFonts w:hint="eastAsia" w:cs="仿宋_GB2312"/>
                <w:szCs w:val="21"/>
                <w:lang w:val="en-US" w:eastAsia="zh-CN" w:bidi="ar"/>
              </w:rPr>
              <w:t>2</w:t>
            </w:r>
            <w:r>
              <w:rPr>
                <w:rFonts w:hint="eastAsia" w:cs="仿宋_GB2312"/>
                <w:szCs w:val="21"/>
                <w:lang w:bidi="ar"/>
              </w:rPr>
              <w:t>分；</w:t>
            </w:r>
          </w:p>
          <w:p>
            <w:pPr>
              <w:widowControl/>
              <w:snapToGrid w:val="0"/>
              <w:spacing w:line="360" w:lineRule="exact"/>
              <w:ind w:firstLine="480"/>
              <w:jc w:val="left"/>
              <w:rPr>
                <w:rFonts w:cs="Times New Roman"/>
                <w:szCs w:val="21"/>
              </w:rPr>
            </w:pPr>
            <w:r>
              <w:rPr>
                <w:rFonts w:cs="Times New Roman"/>
                <w:szCs w:val="21"/>
              </w:rPr>
              <w:t>方案有欠缺或存在明显问题</w:t>
            </w:r>
            <w:r>
              <w:rPr>
                <w:rFonts w:hint="eastAsia" w:cs="Times New Roman"/>
                <w:szCs w:val="21"/>
              </w:rPr>
              <w:t>或未提供方案</w:t>
            </w:r>
            <w:r>
              <w:rPr>
                <w:rFonts w:cs="Times New Roman"/>
                <w:szCs w:val="21"/>
              </w:rPr>
              <w:t>，得0分</w:t>
            </w:r>
            <w:r>
              <w:rPr>
                <w:rFonts w:hint="eastAsia" w:cs="仿宋_GB2312"/>
                <w:szCs w:val="21"/>
                <w:lang w:bidi="ar"/>
              </w:rPr>
              <w:t>。</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val="en-US"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trPr>
        <w:tc>
          <w:tcPr>
            <w:tcW w:w="1091" w:type="dxa"/>
            <w:vAlign w:val="center"/>
          </w:tcPr>
          <w:p>
            <w:pPr>
              <w:ind w:firstLine="0" w:firstLineChars="0"/>
              <w:rPr>
                <w:rFonts w:cs="仿宋_GB2312"/>
                <w:szCs w:val="21"/>
                <w:lang w:bidi="ar"/>
              </w:rPr>
            </w:pPr>
            <w:r>
              <w:rPr>
                <w:rFonts w:hint="eastAsia" w:cs="仿宋_GB2312"/>
                <w:szCs w:val="21"/>
                <w:lang w:bidi="ar"/>
              </w:rPr>
              <w:t>售后服务方案</w:t>
            </w:r>
          </w:p>
        </w:tc>
        <w:tc>
          <w:tcPr>
            <w:tcW w:w="795" w:type="dxa"/>
            <w:vAlign w:val="center"/>
          </w:tcPr>
          <w:p>
            <w:pPr>
              <w:widowControl/>
              <w:snapToGrid w:val="0"/>
              <w:spacing w:line="360" w:lineRule="exact"/>
              <w:ind w:firstLine="0" w:firstLineChars="0"/>
              <w:rPr>
                <w:rFonts w:cs="Times New Roman"/>
                <w:szCs w:val="21"/>
              </w:rPr>
            </w:pPr>
            <w:r>
              <w:rPr>
                <w:rFonts w:hint="eastAsia" w:cs="Times New Roman"/>
                <w:szCs w:val="21"/>
                <w:lang w:val="en-US" w:eastAsia="zh-CN"/>
              </w:rPr>
              <w:t>5</w:t>
            </w:r>
            <w:r>
              <w:rPr>
                <w:rFonts w:hint="eastAsia" w:cs="Times New Roman"/>
                <w:szCs w:val="21"/>
              </w:rPr>
              <w:t>分</w:t>
            </w:r>
          </w:p>
        </w:tc>
        <w:tc>
          <w:tcPr>
            <w:tcW w:w="5672" w:type="dxa"/>
            <w:vAlign w:val="center"/>
          </w:tcPr>
          <w:p>
            <w:pPr>
              <w:widowControl/>
              <w:snapToGrid w:val="0"/>
              <w:spacing w:line="360" w:lineRule="exact"/>
              <w:ind w:firstLine="480"/>
              <w:jc w:val="left"/>
              <w:rPr>
                <w:rFonts w:cs="Times New Roman"/>
                <w:szCs w:val="21"/>
              </w:rPr>
            </w:pPr>
            <w:r>
              <w:rPr>
                <w:rFonts w:hint="eastAsia" w:cs="Times New Roman"/>
                <w:szCs w:val="21"/>
              </w:rPr>
              <w:t>项目验收合格后，供应商需提供不少于</w:t>
            </w:r>
            <w:r>
              <w:rPr>
                <w:rFonts w:hint="eastAsia" w:cs="Times New Roman"/>
                <w:szCs w:val="21"/>
                <w:lang w:val="en-US" w:eastAsia="zh-CN"/>
              </w:rPr>
              <w:t>1</w:t>
            </w:r>
            <w:r>
              <w:rPr>
                <w:rFonts w:hint="eastAsia" w:cs="Times New Roman"/>
                <w:szCs w:val="21"/>
              </w:rPr>
              <w:t>年的免费质保服务。</w:t>
            </w:r>
          </w:p>
          <w:p>
            <w:pPr>
              <w:widowControl/>
              <w:snapToGrid w:val="0"/>
              <w:spacing w:line="360" w:lineRule="exact"/>
              <w:ind w:firstLine="480"/>
              <w:jc w:val="left"/>
              <w:rPr>
                <w:rFonts w:cs="Times New Roman"/>
                <w:szCs w:val="21"/>
              </w:rPr>
            </w:pPr>
            <w:r>
              <w:rPr>
                <w:rFonts w:hint="eastAsia" w:cs="Times New Roman"/>
                <w:szCs w:val="21"/>
              </w:rPr>
              <w:t>质保期内</w:t>
            </w:r>
            <w:r>
              <w:rPr>
                <w:rFonts w:hint="eastAsia" w:cs="Times New Roman"/>
                <w:szCs w:val="21"/>
                <w:lang w:val="en-US" w:eastAsia="zh-CN"/>
              </w:rPr>
              <w:t>若遇掉漆、掉色、墙皮开裂、踢脚线掉落等问题，一周</w:t>
            </w:r>
            <w:r>
              <w:rPr>
                <w:rFonts w:hint="eastAsia" w:cs="Times New Roman"/>
                <w:szCs w:val="21"/>
              </w:rPr>
              <w:t>内派技术人员到现场，保证48小时内解决</w:t>
            </w:r>
            <w:r>
              <w:rPr>
                <w:rFonts w:hint="eastAsia" w:cs="Times New Roman"/>
                <w:szCs w:val="21"/>
                <w:lang w:val="en-US" w:eastAsia="zh-CN"/>
              </w:rPr>
              <w:t>问题</w:t>
            </w:r>
            <w:r>
              <w:rPr>
                <w:rFonts w:hint="eastAsia" w:cs="Times New Roman"/>
                <w:szCs w:val="21"/>
              </w:rPr>
              <w:t>。</w:t>
            </w:r>
          </w:p>
          <w:p>
            <w:pPr>
              <w:widowControl/>
              <w:snapToGrid w:val="0"/>
              <w:spacing w:line="360" w:lineRule="exact"/>
              <w:ind w:firstLine="480"/>
              <w:jc w:val="left"/>
              <w:rPr>
                <w:rFonts w:cs="Times New Roman"/>
                <w:szCs w:val="21"/>
              </w:rPr>
            </w:pPr>
            <w:r>
              <w:rPr>
                <w:rFonts w:hint="eastAsia" w:cs="Times New Roman"/>
                <w:szCs w:val="21"/>
              </w:rPr>
              <w:t>整个售后服务方案清晰完整、具体全面、针对性强，具有完整的有偿售后服务报价，得</w:t>
            </w:r>
            <w:r>
              <w:rPr>
                <w:rFonts w:hint="eastAsia" w:cs="Times New Roman"/>
                <w:szCs w:val="21"/>
                <w:lang w:val="en-US" w:eastAsia="zh-CN"/>
              </w:rPr>
              <w:t>5</w:t>
            </w:r>
            <w:r>
              <w:rPr>
                <w:rFonts w:cs="Times New Roman"/>
                <w:szCs w:val="21"/>
              </w:rPr>
              <w:t>分；</w:t>
            </w:r>
          </w:p>
          <w:p>
            <w:pPr>
              <w:widowControl/>
              <w:snapToGrid w:val="0"/>
              <w:spacing w:line="360" w:lineRule="exact"/>
              <w:ind w:firstLine="480"/>
              <w:jc w:val="left"/>
              <w:rPr>
                <w:rFonts w:cs="Times New Roman"/>
                <w:szCs w:val="21"/>
              </w:rPr>
            </w:pPr>
            <w:r>
              <w:rPr>
                <w:rFonts w:cs="Times New Roman"/>
                <w:szCs w:val="21"/>
              </w:rPr>
              <w:t>提供了常规、通用的方案，基本符合要求，得</w:t>
            </w:r>
            <w:r>
              <w:rPr>
                <w:rFonts w:hint="eastAsia" w:cs="Times New Roman"/>
                <w:szCs w:val="21"/>
                <w:lang w:val="en-US" w:eastAsia="zh-CN"/>
              </w:rPr>
              <w:t>2</w:t>
            </w:r>
            <w:r>
              <w:rPr>
                <w:rFonts w:cs="Times New Roman"/>
                <w:szCs w:val="21"/>
              </w:rPr>
              <w:t>分；</w:t>
            </w:r>
          </w:p>
          <w:p>
            <w:pPr>
              <w:widowControl/>
              <w:snapToGrid w:val="0"/>
              <w:spacing w:line="360" w:lineRule="exact"/>
              <w:ind w:firstLine="480"/>
              <w:jc w:val="left"/>
              <w:rPr>
                <w:rFonts w:cs="Times New Roman"/>
                <w:szCs w:val="21"/>
              </w:rPr>
            </w:pPr>
            <w:r>
              <w:rPr>
                <w:rFonts w:cs="Times New Roman"/>
                <w:szCs w:val="21"/>
              </w:rPr>
              <w:t>方案有欠缺或存在明显问题</w:t>
            </w:r>
            <w:r>
              <w:rPr>
                <w:rFonts w:hint="eastAsia" w:cs="Times New Roman"/>
                <w:szCs w:val="21"/>
              </w:rPr>
              <w:t>或未提供方案</w:t>
            </w:r>
            <w:r>
              <w:rPr>
                <w:rFonts w:cs="Times New Roman"/>
                <w:szCs w:val="21"/>
              </w:rPr>
              <w:t>，得0分。</w:t>
            </w:r>
          </w:p>
        </w:tc>
        <w:tc>
          <w:tcPr>
            <w:tcW w:w="1048" w:type="dxa"/>
            <w:vAlign w:val="center"/>
          </w:tcPr>
          <w:p>
            <w:pPr>
              <w:ind w:firstLine="0" w:firstLineChars="0"/>
              <w:rPr>
                <w:rFonts w:cs="Times New Roman"/>
                <w:szCs w:val="21"/>
              </w:rPr>
            </w:pPr>
            <w:r>
              <w:rPr>
                <w:rFonts w:hint="eastAsia" w:cs="Times New Roman"/>
                <w:szCs w:val="21"/>
              </w:rPr>
              <w:t>0-</w:t>
            </w:r>
            <w:r>
              <w:rPr>
                <w:rFonts w:hint="eastAsia" w:cs="Times New Roman"/>
                <w:szCs w:val="21"/>
                <w:lang w:val="en-US" w:eastAsia="zh-CN"/>
              </w:rPr>
              <w:t>5</w:t>
            </w:r>
            <w:r>
              <w:rPr>
                <w:rFonts w:hint="eastAsia"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trPr>
        <w:tc>
          <w:tcPr>
            <w:tcW w:w="7558" w:type="dxa"/>
            <w:gridSpan w:val="3"/>
            <w:vAlign w:val="center"/>
          </w:tcPr>
          <w:p>
            <w:pPr>
              <w:tabs>
                <w:tab w:val="center" w:pos="540"/>
                <w:tab w:val="center" w:pos="1080"/>
              </w:tabs>
              <w:ind w:firstLine="482"/>
              <w:rPr>
                <w:rFonts w:cs="Times New Roman"/>
                <w:szCs w:val="21"/>
              </w:rPr>
            </w:pPr>
            <w:r>
              <w:rPr>
                <w:rFonts w:hint="eastAsia" w:cs="Times New Roman"/>
                <w:b/>
                <w:szCs w:val="21"/>
              </w:rPr>
              <w:t>总分</w:t>
            </w:r>
          </w:p>
        </w:tc>
        <w:tc>
          <w:tcPr>
            <w:tcW w:w="1048" w:type="dxa"/>
            <w:vAlign w:val="center"/>
          </w:tcPr>
          <w:p>
            <w:pPr>
              <w:ind w:firstLine="0" w:firstLineChars="0"/>
              <w:rPr>
                <w:rFonts w:cs="Times New Roman"/>
                <w:szCs w:val="21"/>
              </w:rPr>
            </w:pPr>
            <w:r>
              <w:rPr>
                <w:rFonts w:hint="eastAsia" w:cs="Times New Roman"/>
                <w:szCs w:val="21"/>
              </w:rPr>
              <w:t>100分</w:t>
            </w:r>
          </w:p>
        </w:tc>
      </w:tr>
    </w:tbl>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3061D7"/>
    <w:multiLevelType w:val="multilevel"/>
    <w:tmpl w:val="253061D7"/>
    <w:lvl w:ilvl="0" w:tentative="0">
      <w:start w:val="1"/>
      <w:numFmt w:val="chineseCountingThousand"/>
      <w:pStyle w:val="6"/>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1N2UyNTNhMWE4MzNjYWU3YjQ3YTVmYTA5M2RiYmMifQ=="/>
  </w:docVars>
  <w:rsids>
    <w:rsidRoot w:val="0D500CE6"/>
    <w:rsid w:val="0D50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6">
    <w:name w:val="标题1-申报手册"/>
    <w:basedOn w:val="3"/>
    <w:qFormat/>
    <w:uiPriority w:val="0"/>
    <w:pPr>
      <w:numPr>
        <w:ilvl w:val="0"/>
        <w:numId w:val="1"/>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1545</Words>
  <Characters>1572</Characters>
  <Lines>0</Lines>
  <Paragraphs>0</Paragraphs>
  <TotalTime>0</TotalTime>
  <ScaleCrop>false</ScaleCrop>
  <LinksUpToDate>false</LinksUpToDate>
  <CharactersWithSpaces>1576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2023-04-06T07:06:00Z</dcterms:created>
  <dc:creator>WPS_1528120776</dc:creator>
  <cp:lastModifiedBy>WPS_1528120776</cp:lastModifiedBy>
  <dcterms:modified xsi:type="dcterms:W3CDTF">2023-04-06T07:07:11Z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6ECEBE6BC7004D69A7D59AFA148F1B84_11</vt:lpwstr>
  </property>
</Properties>
</file>