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中国科学技术馆“虎年话虎”主题即时展览设计制作及相关服务项目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1</w:t>
      </w:r>
      <w:r>
        <w:rPr>
          <w:rFonts w:asciiTheme="minorEastAsia" w:hAnsiTheme="minorEastAsia" w:eastAsiaTheme="minorEastAsia"/>
          <w:sz w:val="40"/>
        </w:rPr>
        <w:t>年</w:t>
      </w:r>
      <w:r>
        <w:rPr>
          <w:rFonts w:hint="eastAsia" w:asciiTheme="minorEastAsia" w:hAnsiTheme="minorEastAsia" w:eastAsiaTheme="minorEastAsia"/>
          <w:sz w:val="40"/>
        </w:rPr>
        <w:t>12</w:t>
      </w:r>
      <w:r>
        <w:rPr>
          <w:rFonts w:asciiTheme="minorEastAsia" w:hAnsiTheme="minorEastAsia" w:eastAsiaTheme="minorEastAsia"/>
          <w:sz w:val="40"/>
        </w:rPr>
        <w:t>月</w:t>
      </w:r>
    </w:p>
    <w:p>
      <w:pPr>
        <w:widowControl/>
        <w:ind w:firstLine="480"/>
        <w:jc w:val="left"/>
        <w:rPr>
          <w:rFonts w:asciiTheme="minorEastAsia" w:hAnsiTheme="minorEastAsia" w:eastAsiaTheme="minorEastAsia"/>
        </w:rPr>
      </w:pPr>
      <w:r>
        <w:rPr>
          <w:rFonts w:asciiTheme="minorEastAsia" w:hAnsiTheme="minorEastAsia" w:eastAsiaTheme="minorEastAsia"/>
        </w:rPr>
        <w:br w:type="page"/>
      </w:r>
    </w:p>
    <w:p>
      <w:pPr>
        <w:pStyle w:val="13"/>
        <w:rPr>
          <w:sz w:val="32"/>
        </w:rPr>
      </w:pPr>
      <w:r>
        <w:rPr>
          <w:rFonts w:hint="eastAsia"/>
          <w:sz w:val="32"/>
        </w:rPr>
        <w:t>目录</w:t>
      </w:r>
    </w:p>
    <w:p>
      <w:pPr>
        <w:pStyle w:val="13"/>
        <w:ind w:firstLine="560"/>
      </w:pPr>
    </w:p>
    <w:p>
      <w:pPr>
        <w:pStyle w:val="13"/>
        <w:tabs>
          <w:tab w:val="left" w:pos="7938"/>
        </w:tabs>
        <w:ind w:firstLine="560"/>
        <w:jc w:val="left"/>
        <w:rPr>
          <w:rStyle w:val="24"/>
          <w:color w:val="auto"/>
        </w:rPr>
      </w:pPr>
      <w:r>
        <w:fldChar w:fldCharType="begin"/>
      </w:r>
      <w:r>
        <w:instrText xml:space="preserve"> TOC \o "1-1" \h \z \u </w:instrText>
      </w:r>
      <w:r>
        <w:fldChar w:fldCharType="separate"/>
      </w:r>
      <w:r>
        <w:fldChar w:fldCharType="begin"/>
      </w:r>
      <w:r>
        <w:instrText xml:space="preserve"> HYPERLINK \l "_Toc79152751" </w:instrText>
      </w:r>
      <w: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"_Toc79152752" </w:instrText>
      </w:r>
      <w: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"_Toc79152753" </w:instrText>
      </w:r>
      <w: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13</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sz w:val="21"/>
          <w:szCs w:val="22"/>
        </w:rPr>
      </w:pPr>
      <w:r>
        <w:fldChar w:fldCharType="begin"/>
      </w:r>
      <w:r>
        <w:instrText xml:space="preserve"> HYPERLINK \l "_Toc79152754" </w:instrText>
      </w:r>
      <w: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16</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6"/>
        <w:ind w:firstLine="643"/>
        <w:rPr>
          <w:sz w:val="32"/>
          <w:szCs w:val="32"/>
        </w:rPr>
      </w:pPr>
      <w:bookmarkStart w:id="0" w:name="_Toc79152751"/>
      <w:r>
        <w:rPr>
          <w:rFonts w:hint="eastAsia"/>
          <w:sz w:val="32"/>
          <w:szCs w:val="32"/>
        </w:rPr>
        <w:t>申报通知</w:t>
      </w:r>
      <w:bookmarkEnd w:id="0"/>
    </w:p>
    <w:p>
      <w:pPr>
        <w:pStyle w:val="35"/>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中国科学技术馆“虎年话虎”主题即时展览设计制作及相关服务项目。</w:t>
      </w:r>
    </w:p>
    <w:p>
      <w:pPr>
        <w:pStyle w:val="35"/>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预算金额：人民币33.6</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40"/>
        <w:rPr>
          <w:rFonts w:asciiTheme="minorEastAsia" w:hAnsiTheme="minorEastAsia" w:eastAsiaTheme="minorEastAsia"/>
          <w:sz w:val="22"/>
        </w:rPr>
      </w:pPr>
      <w:r>
        <w:rPr>
          <w:rFonts w:hint="eastAsia" w:asciiTheme="minorEastAsia" w:hAnsiTheme="minorEastAsia" w:eastAsiaTheme="minorEastAsia"/>
          <w:sz w:val="22"/>
        </w:rPr>
        <w:t>注：项目预算包含为完成申报任务规定的内容及范围并达到质量标准所需要的全部费用，采购人就申报任务约定内容将不再支付额外的费用。</w:t>
      </w:r>
    </w:p>
    <w:p>
      <w:pPr>
        <w:pStyle w:val="35"/>
      </w:pPr>
      <w:r>
        <w:rPr>
          <w:rFonts w:hint="eastAsia"/>
        </w:rPr>
        <w:t>采购需求</w:t>
      </w:r>
    </w:p>
    <w:p>
      <w:pPr>
        <w:ind w:firstLine="480"/>
      </w:pPr>
      <w:r>
        <w:rPr>
          <w:rFonts w:hint="eastAsia"/>
        </w:rPr>
        <w:t>详见附件第二章</w:t>
      </w:r>
      <w:r>
        <w:t>采购需求</w:t>
      </w:r>
      <w:r>
        <w:rPr>
          <w:rFonts w:hint="eastAsia"/>
        </w:rPr>
        <w:t>。</w:t>
      </w:r>
    </w:p>
    <w:p>
      <w:pPr>
        <w:pStyle w:val="35"/>
      </w:pPr>
      <w:r>
        <w:rPr>
          <w:rFonts w:hint="eastAsia"/>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以申报代理机构接到《资格文件》PDF版后查询结果为准）；</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（6）本项目是否接受联合体申报：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pStyle w:val="35"/>
      </w:pPr>
      <w:r>
        <w:rPr>
          <w:rFonts w:hint="eastAsia"/>
        </w:rPr>
        <w:t>申报流程</w:t>
      </w:r>
    </w:p>
    <w:p>
      <w:pPr>
        <w:pStyle w:val="40"/>
        <w:numPr>
          <w:ilvl w:val="-1"/>
          <w:numId w:val="0"/>
        </w:numPr>
        <w:ind w:left="0"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供应商前往中国科学技术协会智慧计财服务平台（nk.cast.org.cn）项目申报页面进行供应商注册。技术咨询：010-53352066；</w:t>
      </w:r>
    </w:p>
    <w:p>
      <w:pPr>
        <w:pStyle w:val="40"/>
        <w:numPr>
          <w:ilvl w:val="-1"/>
          <w:numId w:val="0"/>
        </w:numPr>
        <w:ind w:left="0"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lang w:eastAsia="zh-CN"/>
        </w:rPr>
        <w:t>）</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0"/>
        <w:numPr>
          <w:ilvl w:val="-1"/>
          <w:numId w:val="0"/>
        </w:numPr>
        <w:ind w:left="0"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lang w:eastAsia="zh-CN"/>
        </w:rPr>
        <w:t>）</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本项目申报通知发布后的第7个工作日（不含申报通知发布当日）17:00截止；</w:t>
      </w:r>
    </w:p>
    <w:p>
      <w:pPr>
        <w:pStyle w:val="40"/>
        <w:numPr>
          <w:ilvl w:val="-1"/>
          <w:numId w:val="0"/>
        </w:numPr>
        <w:ind w:left="0"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lang w:eastAsia="zh-CN"/>
        </w:rPr>
        <w:t>）</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北京市朝阳区北辰东路5号中国科学技术馆，刘伟霞010-59041058 18910551958。</w:t>
      </w:r>
    </w:p>
    <w:p>
      <w:pPr>
        <w:pStyle w:val="35"/>
      </w:pPr>
      <w:r>
        <w:rPr>
          <w:rFonts w:hint="eastAsia"/>
        </w:rPr>
        <w:t>其他要求</w:t>
      </w:r>
    </w:p>
    <w:p>
      <w:pPr>
        <w:pStyle w:val="40"/>
        <w:numPr>
          <w:ilvl w:val="-1"/>
          <w:numId w:val="0"/>
        </w:numPr>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lang w:eastAsia="zh-CN"/>
        </w:rPr>
        <w:t>）</w:t>
      </w:r>
      <w:r>
        <w:rPr>
          <w:rFonts w:asciiTheme="minorEastAsia" w:hAnsiTheme="minorEastAsia" w:eastAsiaTheme="minorEastAsia"/>
          <w:szCs w:val="24"/>
        </w:rPr>
        <w:t>文件制作要求：</w:t>
      </w:r>
    </w:p>
    <w:p>
      <w:pPr>
        <w:pStyle w:val="40"/>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left="420"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0"/>
        <w:numPr>
          <w:ilvl w:val="-1"/>
          <w:numId w:val="0"/>
        </w:numPr>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lang w:eastAsia="zh-CN"/>
        </w:rPr>
        <w:t>）</w:t>
      </w:r>
      <w:r>
        <w:rPr>
          <w:rFonts w:asciiTheme="minorEastAsia" w:hAnsiTheme="minorEastAsia" w:eastAsiaTheme="minorEastAsia"/>
          <w:szCs w:val="24"/>
        </w:rPr>
        <w:t>公告期限：5个工作日</w:t>
      </w:r>
      <w:r>
        <w:rPr>
          <w:rFonts w:hint="eastAsia" w:asciiTheme="minorEastAsia" w:hAnsiTheme="minorEastAsia" w:eastAsiaTheme="minorEastAsia"/>
          <w:szCs w:val="24"/>
        </w:rPr>
        <w:t>。</w:t>
      </w:r>
    </w:p>
    <w:p>
      <w:pPr>
        <w:pStyle w:val="40"/>
        <w:numPr>
          <w:ilvl w:val="-1"/>
          <w:numId w:val="0"/>
        </w:numPr>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采购部门：中国科学技术馆</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w:t>
      </w:r>
      <w:r>
        <w:rPr>
          <w:rFonts w:asciiTheme="minorEastAsia" w:hAnsiTheme="minorEastAsia" w:eastAsiaTheme="minorEastAsia"/>
          <w:szCs w:val="24"/>
        </w:rPr>
        <w:t>人：</w:t>
      </w:r>
      <w:r>
        <w:rPr>
          <w:rFonts w:hint="eastAsia" w:asciiTheme="minorEastAsia" w:hAnsiTheme="minorEastAsia" w:eastAsiaTheme="minorEastAsia"/>
          <w:szCs w:val="24"/>
        </w:rPr>
        <w:t>刘伟霞</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联系电话：</w:t>
      </w:r>
      <w:r>
        <w:rPr>
          <w:rFonts w:hint="eastAsia" w:asciiTheme="minorEastAsia" w:hAnsiTheme="minorEastAsia" w:eastAsiaTheme="minorEastAsia"/>
          <w:szCs w:val="24"/>
        </w:rPr>
        <w:t>010-59041058 18910551958</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0"/>
        <w:numPr>
          <w:ilvl w:val="-1"/>
          <w:numId w:val="0"/>
        </w:numPr>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申报代理机构：</w:t>
      </w:r>
      <w:r>
        <w:rPr>
          <w:rFonts w:asciiTheme="minorEastAsia" w:hAnsiTheme="minorEastAsia" w:eastAsiaTheme="minorEastAsia"/>
          <w:szCs w:val="24"/>
        </w:rPr>
        <w:t>五矿国际招标有限责任公司</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0"/>
        <w:ind w:left="420" w:firstLineChars="0"/>
        <w:rPr>
          <w:rFonts w:asciiTheme="minorEastAsia" w:hAnsiTheme="minorEastAsia" w:eastAsiaTheme="minorEastAsia"/>
          <w:b/>
          <w:bCs/>
          <w:kern w:val="44"/>
          <w:szCs w:val="24"/>
        </w:rPr>
      </w:pPr>
      <w:r>
        <w:br w:type="page"/>
      </w:r>
    </w:p>
    <w:p>
      <w:pPr>
        <w:pStyle w:val="36"/>
        <w:ind w:firstLine="643"/>
        <w:rPr>
          <w:sz w:val="32"/>
          <w:szCs w:val="32"/>
        </w:rPr>
      </w:pPr>
      <w:bookmarkStart w:id="1" w:name="_Toc79152752"/>
      <w:r>
        <w:rPr>
          <w:rFonts w:hint="eastAsia"/>
          <w:sz w:val="32"/>
          <w:szCs w:val="32"/>
        </w:rPr>
        <w:t>采购需求</w:t>
      </w:r>
      <w:bookmarkEnd w:id="1"/>
    </w:p>
    <w:p>
      <w:pPr>
        <w:spacing w:line="580" w:lineRule="exact"/>
        <w:ind w:firstLine="640"/>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一、展览概述</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农历虎年即将到来，为营造浓厚的春节氛围，让公众深入了解老虎这一物种的生物特性、文化内涵及其生态重要性，尤其是激发青少年好奇心，培养社会责任感，展览教育中心拟策划开发“虎年话虎”主题即时展览，并实施配套教育活动。</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展览地点：主展厅二层恐龙广场</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展览面积：270m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（18米×15米）</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展出时间：2021年1月底至3月底</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展览性质：小型即时展览</w:t>
      </w:r>
    </w:p>
    <w:p>
      <w:pPr>
        <w:spacing w:line="580" w:lineRule="exact"/>
        <w:ind w:firstLine="640"/>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二、展览框架</w:t>
      </w:r>
    </w:p>
    <w:p>
      <w:pPr>
        <w:spacing w:line="580" w:lineRule="exact"/>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展览内容分为展区、话题、知识点三个层次：展区依内容所属领域划分；展区下设话题，从公众关注点进行展开阐述；知识点是与话题直接相关的具体内容，是展览内容的基本信息单元。</w:t>
      </w:r>
    </w:p>
    <w:p>
      <w:pPr>
        <w:spacing w:line="580" w:lineRule="exact"/>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览包括“山林虎影”“文化虎踪”“重振虎威”三大展区。“山林虎影”展区展示老虎的起源、生理特点及生活习性，下设“虎从哪里来”“老虎全家福”“虎虎生威”“探秘‘大猫’”四个话题；“文化虎踪”展区展示虎与春节、虎佑孩童、非遗及语言文化中的虎等内容，下设“喜庆之虎”“萌趣之虎”“灵动之虎”“虎言虎语”四个话题；“重振虎威”展区展示老虎生存危机、护虎政策、护虎科技、相关成果以及护虎之人等内容，下设“老虎大危机”“世界在行动”“科技有办法”“护虎新成果”“护虎看我的”五个话题。</w:t>
      </w:r>
    </w:p>
    <w:p>
      <w:pPr>
        <w:spacing w:line="580" w:lineRule="exact"/>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览将采用图文展示、异型展板、实物、模型、多媒体、机械互动等多种形式进行展示。而且，考虑到即时展览“短、平、快”的特点，展示形式拟以图文展示为主，大部分知识点均配有图文介绍；在此基础上，部分知识点增加易于实现的其他展示手段，如工艺简单的异型展板、可协调获得的实物、可方便制作的模型、成本较低的多媒体及制作周期短的机械互动装置等。展览的展示内容和方式详见下表。</w:t>
      </w:r>
    </w:p>
    <w:p>
      <w:pPr>
        <w:spacing w:line="580" w:lineRule="exact"/>
        <w:ind w:firstLine="56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表1 展览展示内容与方式</w:t>
      </w:r>
    </w:p>
    <w:tbl>
      <w:tblPr>
        <w:tblStyle w:val="30"/>
        <w:tblW w:w="9019" w:type="dxa"/>
        <w:jc w:val="center"/>
        <w:tblInd w:w="0" w:type="dxa"/>
        <w:tblLayout w:type="fixed"/>
        <w:tblCellMar>
          <w:top w:w="0" w:type="dxa"/>
          <w:left w:w="108" w:type="dxa"/>
          <w:bottom w:w="0" w:type="dxa"/>
          <w:right w:w="108" w:type="dxa"/>
        </w:tblCellMar>
      </w:tblPr>
      <w:tblGrid>
        <w:gridCol w:w="1179"/>
        <w:gridCol w:w="1428"/>
        <w:gridCol w:w="3861"/>
        <w:gridCol w:w="2551"/>
      </w:tblGrid>
      <w:tr>
        <w:tblPrEx>
          <w:tblLayout w:type="fixed"/>
          <w:tblCellMar>
            <w:top w:w="0" w:type="dxa"/>
            <w:left w:w="108" w:type="dxa"/>
            <w:bottom w:w="0" w:type="dxa"/>
            <w:right w:w="108" w:type="dxa"/>
          </w:tblCellMar>
        </w:tblPrEx>
        <w:trPr>
          <w:trHeight w:val="439" w:hRule="atLeast"/>
          <w:jc w:val="center"/>
        </w:trPr>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b/>
                <w:bCs/>
                <w:color w:val="000000"/>
                <w:kern w:val="0"/>
                <w:szCs w:val="24"/>
              </w:rPr>
            </w:pPr>
            <w:r>
              <w:rPr>
                <w:rFonts w:hint="eastAsia" w:asciiTheme="minorEastAsia" w:hAnsiTheme="minorEastAsia" w:eastAsiaTheme="minorEastAsia" w:cstheme="minorEastAsia"/>
                <w:b/>
                <w:bCs/>
                <w:color w:val="000000"/>
                <w:kern w:val="0"/>
                <w:szCs w:val="24"/>
              </w:rPr>
              <w:t>展区</w:t>
            </w:r>
          </w:p>
        </w:tc>
        <w:tc>
          <w:tcPr>
            <w:tcW w:w="1428"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b/>
                <w:bCs/>
                <w:color w:val="000000"/>
                <w:kern w:val="0"/>
                <w:szCs w:val="24"/>
              </w:rPr>
            </w:pPr>
            <w:r>
              <w:rPr>
                <w:rFonts w:hint="eastAsia" w:asciiTheme="minorEastAsia" w:hAnsiTheme="minorEastAsia" w:eastAsiaTheme="minorEastAsia" w:cstheme="minorEastAsia"/>
                <w:b/>
                <w:bCs/>
                <w:color w:val="000000"/>
                <w:kern w:val="0"/>
                <w:szCs w:val="24"/>
              </w:rPr>
              <w:t>话题</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b/>
                <w:bCs/>
                <w:color w:val="000000"/>
                <w:kern w:val="0"/>
                <w:szCs w:val="24"/>
              </w:rPr>
            </w:pPr>
            <w:r>
              <w:rPr>
                <w:rFonts w:hint="eastAsia" w:asciiTheme="minorEastAsia" w:hAnsiTheme="minorEastAsia" w:eastAsiaTheme="minorEastAsia" w:cstheme="minorEastAsia"/>
                <w:b/>
                <w:bCs/>
                <w:color w:val="000000"/>
                <w:kern w:val="0"/>
                <w:szCs w:val="24"/>
              </w:rPr>
              <w:t>知识点</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hint="eastAsia" w:asciiTheme="minorEastAsia" w:hAnsiTheme="minorEastAsia" w:eastAsiaTheme="minorEastAsia" w:cstheme="minorEastAsia"/>
                <w:b/>
                <w:bCs/>
                <w:color w:val="000000"/>
                <w:kern w:val="0"/>
                <w:szCs w:val="24"/>
              </w:rPr>
            </w:pPr>
            <w:r>
              <w:rPr>
                <w:rFonts w:hint="eastAsia" w:asciiTheme="minorEastAsia" w:hAnsiTheme="minorEastAsia" w:eastAsiaTheme="minorEastAsia" w:cstheme="minorEastAsia"/>
                <w:b/>
                <w:bCs/>
                <w:color w:val="000000"/>
                <w:kern w:val="0"/>
                <w:szCs w:val="24"/>
              </w:rPr>
              <w:t>展示方式</w:t>
            </w:r>
          </w:p>
        </w:tc>
      </w:tr>
      <w:tr>
        <w:tblPrEx>
          <w:tblLayout w:type="fixed"/>
          <w:tblCellMar>
            <w:top w:w="0" w:type="dxa"/>
            <w:left w:w="108" w:type="dxa"/>
            <w:bottom w:w="0" w:type="dxa"/>
            <w:right w:w="108" w:type="dxa"/>
          </w:tblCellMar>
        </w:tblPrEx>
        <w:trPr>
          <w:trHeight w:val="408" w:hRule="atLeast"/>
          <w:jc w:val="center"/>
        </w:trPr>
        <w:tc>
          <w:tcPr>
            <w:tcW w:w="11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山林虎影</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虎从哪里来</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1.分类学上种属关系：猫科动物</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2.起源的证据——古中华虎化石</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526"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老虎全家福</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1.虎亚种在世界各地及我国的分布情况</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异型展板：展示各亚种虎的分布</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2.不同颜色的老虎</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多媒体：老虎拼图</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虎虎生威</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1.老虎捕食系列动作</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（1）扑：一跳7米远、2米高</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机械结构：比比谁跳的高（详见表后注释）</w:t>
            </w:r>
          </w:p>
        </w:tc>
      </w:tr>
      <w:tr>
        <w:tblPrEx>
          <w:tblLayout w:type="fixed"/>
          <w:tblCellMar>
            <w:top w:w="0" w:type="dxa"/>
            <w:left w:w="108" w:type="dxa"/>
            <w:bottom w:w="0" w:type="dxa"/>
            <w:right w:w="108" w:type="dxa"/>
          </w:tblCellMar>
        </w:tblPrEx>
        <w:trPr>
          <w:trHeight w:val="810"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（2）拍：借助强有力的手掌和锋利的虎爪，可以轻松抓捕猎物</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机械结构：虎掌力量（详见表后注释）</w:t>
            </w:r>
          </w:p>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模型：收放自如的虎爪</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（3）咬：长而锋利的犬齿辅助撕咬</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模型：虎的犬齿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2.老虎食物</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模型：虎舌</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4"/>
              </w:numPr>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老虎的食物有哪些</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4"/>
              </w:numPr>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舌头：有倒刺、舔舐骨头</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394"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（3）老虎的食量：一口气可以吃下30公斤猎物</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探秘“大猫”</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1.老虎怎么区分领地</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异形展板：互动翻板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2.老虎怕热吗</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3.为什么说：狼吞“虎咽”</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4.老虎都不会爬树吗</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5.老虎只吃肉吗</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6.老虎都很凶猛吗</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B0F0"/>
                <w:kern w:val="0"/>
                <w:szCs w:val="24"/>
              </w:rPr>
            </w:pPr>
            <w:r>
              <w:rPr>
                <w:rFonts w:hint="eastAsia" w:asciiTheme="minorEastAsia" w:hAnsiTheme="minorEastAsia" w:eastAsiaTheme="minorEastAsia" w:cstheme="minorEastAsia"/>
                <w:color w:val="000000"/>
                <w:kern w:val="0"/>
                <w:szCs w:val="24"/>
              </w:rPr>
              <w:t>7.染发还是纹身</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文化虎踪</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喜庆之虎</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1.门神</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2.年画</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年画实物（已有）</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3.剪纸（非遗）</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剪纸实物（已有）</w:t>
            </w:r>
          </w:p>
        </w:tc>
      </w:tr>
      <w:tr>
        <w:tblPrEx>
          <w:tblLayout w:type="fixed"/>
          <w:tblCellMar>
            <w:top w:w="0" w:type="dxa"/>
            <w:left w:w="108" w:type="dxa"/>
            <w:bottom w:w="0" w:type="dxa"/>
            <w:right w:w="108" w:type="dxa"/>
          </w:tblCellMar>
        </w:tblPrEx>
        <w:trPr>
          <w:trHeight w:val="90"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both"/>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萌趣之虎</w:t>
            </w: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1.儿童虎饰：虎头鞋、虎头帽</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多媒体：以互动方式体验虎头鞋、帽穿戴</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2.虎头枕</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虎头枕实物</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3.艾虎</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艾虎实物</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4.玩具——叫虎</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叫虎实物</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both"/>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灵动之虎</w:t>
            </w: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1.五禽戏</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多媒体：视频（内容已有）</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2.老虎笙</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nil"/>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3.绘画</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tcBorders>
              <w:top w:val="nil"/>
              <w:left w:val="nil"/>
              <w:bottom w:val="single" w:color="auto" w:sz="4" w:space="0"/>
              <w:right w:val="single" w:color="auto" w:sz="4" w:space="0"/>
            </w:tcBorders>
            <w:shd w:val="clear" w:color="auto" w:fill="auto"/>
            <w:vAlign w:val="center"/>
          </w:tcPr>
          <w:p>
            <w:pPr>
              <w:widowControl/>
              <w:ind w:firstLine="0" w:firstLineChars="0"/>
              <w:jc w:val="both"/>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虎言虎语</w:t>
            </w: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与虎有关的地名、成语、谚语等</w:t>
            </w:r>
          </w:p>
        </w:tc>
        <w:tc>
          <w:tcPr>
            <w:tcW w:w="255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多媒体：故事视频</w:t>
            </w:r>
          </w:p>
        </w:tc>
      </w:tr>
      <w:tr>
        <w:tblPrEx>
          <w:tblLayout w:type="fixed"/>
          <w:tblCellMar>
            <w:top w:w="0" w:type="dxa"/>
            <w:left w:w="108" w:type="dxa"/>
            <w:bottom w:w="0" w:type="dxa"/>
            <w:right w:w="108" w:type="dxa"/>
          </w:tblCellMar>
        </w:tblPrEx>
        <w:trPr>
          <w:trHeight w:val="408" w:hRule="atLeast"/>
          <w:jc w:val="center"/>
        </w:trPr>
        <w:tc>
          <w:tcPr>
            <w:tcW w:w="11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重振虎威</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老虎大危机</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1.世界范围内老虎数量锐减及原因</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2.我国虎亚种濒危等级：极危</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3.华南虎的存在情况</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90"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4.从生物多样性的角度解释为什么要保护老虎</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left"/>
              <w:rPr>
                <w:rFonts w:hint="eastAsia" w:asciiTheme="minorEastAsia" w:hAnsiTheme="minorEastAsia" w:eastAsiaTheme="minorEastAsia" w:cstheme="minorEastAsia"/>
                <w:color w:val="000000"/>
                <w:kern w:val="0"/>
                <w:szCs w:val="24"/>
              </w:rPr>
            </w:pPr>
          </w:p>
        </w:tc>
      </w:tr>
      <w:tr>
        <w:tblPrEx>
          <w:tblLayout w:type="fixed"/>
          <w:tblCellMar>
            <w:top w:w="0" w:type="dxa"/>
            <w:left w:w="108" w:type="dxa"/>
            <w:bottom w:w="0" w:type="dxa"/>
            <w:right w:w="108" w:type="dxa"/>
          </w:tblCellMar>
        </w:tblPrEx>
        <w:trPr>
          <w:trHeight w:val="810"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世界在行动</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1.世界性公约：全球老虎日、2022年全球野生虎数量翻倍（TX2）、《生物多样性公约》</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810"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2.我国的努力：</w:t>
            </w:r>
            <w:r>
              <w:rPr>
                <w:rFonts w:hint="eastAsia" w:asciiTheme="minorEastAsia" w:hAnsiTheme="minorEastAsia" w:eastAsiaTheme="minorEastAsia" w:cstheme="minorEastAsia"/>
                <w:color w:val="000000"/>
                <w:kern w:val="0"/>
                <w:szCs w:val="24"/>
              </w:rPr>
              <w:br w:type="textWrapping"/>
            </w:r>
            <w:r>
              <w:rPr>
                <w:rFonts w:hint="eastAsia" w:asciiTheme="minorEastAsia" w:hAnsiTheme="minorEastAsia" w:eastAsiaTheme="minorEastAsia" w:cstheme="minorEastAsia"/>
                <w:color w:val="000000"/>
                <w:kern w:val="0"/>
                <w:szCs w:val="24"/>
              </w:rPr>
              <w:t>（1）政策方面：《关于禁止犀牛角和虎骨贸易的通知》</w:t>
            </w:r>
          </w:p>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（2）从邮票看出我国对虎保护重视</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邮票实物展示</w:t>
            </w:r>
          </w:p>
        </w:tc>
      </w:tr>
      <w:tr>
        <w:tblPrEx>
          <w:tblLayout w:type="fixed"/>
          <w:tblCellMar>
            <w:top w:w="0" w:type="dxa"/>
            <w:left w:w="108" w:type="dxa"/>
            <w:bottom w:w="0" w:type="dxa"/>
            <w:right w:w="108" w:type="dxa"/>
          </w:tblCellMar>
        </w:tblPrEx>
        <w:trPr>
          <w:trHeight w:val="1020"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科技有办法</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1.科技护虎：东北虎豹国家公园：构建了90多座信号基站并布设了超过30000台红外相机等设备，成功地搭建了“天地空一体化监测系统”</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图文展板：东北虎豹国家公园的图文资料</w:t>
            </w:r>
          </w:p>
        </w:tc>
      </w:tr>
      <w:tr>
        <w:tblPrEx>
          <w:tblLayout w:type="fixed"/>
          <w:tblCellMar>
            <w:top w:w="0" w:type="dxa"/>
            <w:left w:w="108" w:type="dxa"/>
            <w:bottom w:w="0" w:type="dxa"/>
            <w:right w:w="108" w:type="dxa"/>
          </w:tblCellMar>
        </w:tblPrEx>
        <w:trPr>
          <w:trHeight w:val="642"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2.科学管理：建立保护地标准；反盗猎监督与评估机制SAMAP；空间监测和报告工具SMART</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982"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护虎新成果</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1.数量翻倍：据东北虎豹国家公园管理局最新数据显示，公园内的野生东北虎数量已由2017年试点之初的27只增长至50只，监测到新繁殖幼虎10只以上。中国已经达到2022年野生虎数量翻一番的目标。</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2.明星虎：T3、完达山1号</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图文展板：明星虎图片</w:t>
            </w:r>
          </w:p>
        </w:tc>
      </w:tr>
      <w:tr>
        <w:tblPrEx>
          <w:tblLayout w:type="fixed"/>
          <w:tblCellMar>
            <w:top w:w="0" w:type="dxa"/>
            <w:left w:w="108" w:type="dxa"/>
            <w:bottom w:w="0" w:type="dxa"/>
            <w:right w:w="108" w:type="dxa"/>
          </w:tblCellMar>
        </w:tblPrEx>
        <w:trPr>
          <w:trHeight w:val="465" w:hRule="atLeast"/>
          <w:jc w:val="center"/>
        </w:trPr>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护虎看我的</w:t>
            </w: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1.科学家：谭邦杰等著名护虎专家</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实物：谭邦杰编著《虎》</w:t>
            </w:r>
          </w:p>
        </w:tc>
      </w:tr>
      <w:tr>
        <w:tblPrEx>
          <w:tblLayout w:type="fixed"/>
          <w:tblCellMar>
            <w:top w:w="0" w:type="dxa"/>
            <w:left w:w="108" w:type="dxa"/>
            <w:bottom w:w="0" w:type="dxa"/>
            <w:right w:w="108" w:type="dxa"/>
          </w:tblCellMar>
        </w:tblPrEx>
        <w:trPr>
          <w:trHeight w:val="772" w:hRule="atLeast"/>
          <w:jc w:val="center"/>
        </w:trPr>
        <w:tc>
          <w:tcPr>
            <w:tcW w:w="1179" w:type="dxa"/>
            <w:vMerge w:val="continue"/>
            <w:tcBorders>
              <w:top w:val="single" w:color="auto" w:sz="4" w:space="0"/>
              <w:left w:val="single" w:color="auto"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top w:val="single" w:color="auto" w:sz="4" w:space="0"/>
              <w:left w:val="single" w:color="auto" w:sz="4" w:space="0"/>
              <w:right w:val="single" w:color="auto" w:sz="4" w:space="0"/>
            </w:tcBorders>
            <w:vAlign w:val="center"/>
          </w:tcPr>
          <w:p>
            <w:pPr>
              <w:widowControl/>
              <w:ind w:firstLine="480"/>
              <w:jc w:val="center"/>
              <w:rPr>
                <w:rFonts w:hint="eastAsia" w:asciiTheme="minorEastAsia" w:hAnsiTheme="minorEastAsia" w:eastAsiaTheme="minorEastAsia" w:cstheme="minorEastAsia"/>
                <w:kern w:val="0"/>
                <w:szCs w:val="24"/>
              </w:rPr>
            </w:pPr>
          </w:p>
        </w:tc>
        <w:tc>
          <w:tcPr>
            <w:tcW w:w="3861"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2.巡护员：任务是什么，如何发现老虎踪迹？</w:t>
            </w:r>
          </w:p>
        </w:tc>
        <w:tc>
          <w:tcPr>
            <w:tcW w:w="2551" w:type="dxa"/>
            <w:tcBorders>
              <w:top w:val="single" w:color="auto" w:sz="4" w:space="0"/>
              <w:left w:val="single" w:color="auto" w:sz="4" w:space="0"/>
              <w:bottom w:val="single" w:color="000000" w:sz="4" w:space="0"/>
              <w:right w:val="single" w:color="auto" w:sz="4" w:space="0"/>
            </w:tcBorders>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多媒体：视频（内容已有）</w:t>
            </w:r>
          </w:p>
        </w:tc>
      </w:tr>
      <w:tr>
        <w:tblPrEx>
          <w:tblLayout w:type="fixed"/>
          <w:tblCellMar>
            <w:top w:w="0" w:type="dxa"/>
            <w:left w:w="108" w:type="dxa"/>
            <w:bottom w:w="0" w:type="dxa"/>
            <w:right w:w="108" w:type="dxa"/>
          </w:tblCellMar>
        </w:tblPrEx>
        <w:trPr>
          <w:trHeight w:val="408" w:hRule="atLeast"/>
          <w:jc w:val="center"/>
        </w:trPr>
        <w:tc>
          <w:tcPr>
            <w:tcW w:w="1179" w:type="dxa"/>
            <w:vMerge w:val="continue"/>
            <w:tcBorders>
              <w:left w:val="single" w:color="auto" w:sz="4" w:space="0"/>
              <w:bottom w:val="single" w:color="000000" w:sz="4" w:space="0"/>
              <w:right w:val="single" w:color="auto" w:sz="4" w:space="0"/>
            </w:tcBorders>
            <w:vAlign w:val="center"/>
          </w:tcPr>
          <w:p>
            <w:pPr>
              <w:widowControl/>
              <w:ind w:firstLine="480"/>
              <w:jc w:val="left"/>
              <w:rPr>
                <w:rFonts w:hint="eastAsia" w:asciiTheme="minorEastAsia" w:hAnsiTheme="minorEastAsia" w:eastAsiaTheme="minorEastAsia" w:cstheme="minorEastAsia"/>
                <w:color w:val="000000"/>
                <w:kern w:val="0"/>
                <w:szCs w:val="24"/>
              </w:rPr>
            </w:pPr>
          </w:p>
        </w:tc>
        <w:tc>
          <w:tcPr>
            <w:tcW w:w="1428" w:type="dxa"/>
            <w:vMerge w:val="continue"/>
            <w:tcBorders>
              <w:left w:val="single" w:color="auto" w:sz="4" w:space="0"/>
              <w:bottom w:val="single" w:color="000000" w:sz="4" w:space="0"/>
              <w:right w:val="single" w:color="auto" w:sz="4" w:space="0"/>
            </w:tcBorders>
            <w:vAlign w:val="center"/>
          </w:tcPr>
          <w:p>
            <w:pPr>
              <w:widowControl/>
              <w:ind w:firstLine="480"/>
              <w:jc w:val="center"/>
              <w:rPr>
                <w:rFonts w:hint="eastAsia" w:asciiTheme="minorEastAsia" w:hAnsiTheme="minorEastAsia" w:eastAsiaTheme="minorEastAsia" w:cstheme="minorEastAsia"/>
                <w:kern w:val="0"/>
                <w:szCs w:val="24"/>
              </w:rPr>
            </w:pPr>
          </w:p>
        </w:tc>
        <w:tc>
          <w:tcPr>
            <w:tcW w:w="3861"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3.“你”：保护老虎有什么建议呢？</w:t>
            </w:r>
          </w:p>
        </w:tc>
        <w:tc>
          <w:tcPr>
            <w:tcW w:w="2551" w:type="dxa"/>
            <w:tcBorders>
              <w:top w:val="nil"/>
              <w:left w:val="single" w:color="auto" w:sz="4" w:space="0"/>
              <w:bottom w:val="single" w:color="000000" w:sz="4" w:space="0"/>
              <w:right w:val="single" w:color="auto" w:sz="4" w:space="0"/>
            </w:tcBorders>
            <w:vAlign w:val="center"/>
          </w:tcPr>
          <w:p>
            <w:pPr>
              <w:widowControl/>
              <w:ind w:firstLine="0" w:firstLineChars="0"/>
              <w:jc w:val="left"/>
              <w:rPr>
                <w:rFonts w:hint="eastAsia"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多媒体：观众扫码互动</w:t>
            </w:r>
          </w:p>
        </w:tc>
      </w:tr>
    </w:tbl>
    <w:p>
      <w:pPr>
        <w:spacing w:line="580" w:lineRule="exact"/>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注释：</w:t>
      </w:r>
    </w:p>
    <w:p>
      <w:pPr>
        <w:spacing w:line="580" w:lineRule="exact"/>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1.“比比谁跳的高”，在展板上设置不同高度（1米、1.5米、2米）的感应器，观众触摸后，感应器发生反应。</w:t>
      </w:r>
    </w:p>
    <w:p>
      <w:pPr>
        <w:spacing w:line="580" w:lineRule="exact"/>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2.“虎掌力量”，用拳击测试器进行人虎力量对比，观众击打拳击测试器，显示力量值，跟老虎掌力对比。 </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本展览以展架搭建形成参观动线，包括封面、主体部分、教育活动区。展品展项须易于重复拆装打包和运输，满足巡展功能需要。展板展架以模块化方式制作，便于后期在中小学校等巡展。</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展览布局参考如下：</w:t>
      </w:r>
    </w:p>
    <w:p>
      <w:pPr>
        <w:ind w:firstLine="48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drawing>
          <wp:inline distT="0" distB="0" distL="0" distR="0">
            <wp:extent cx="5039995" cy="5081905"/>
            <wp:effectExtent l="0" t="0" r="8255" b="4445"/>
            <wp:docPr id="4" name="图片 4" descr="C:\Users\lwx\Desktop\微信图片_2021120218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wx\Desktop\微信图片_20211202182105.jpg"/>
                    <pic:cNvPicPr>
                      <a:picLocks noChangeAspect="1" noChangeArrowheads="1"/>
                    </pic:cNvPicPr>
                  </pic:nvPicPr>
                  <pic:blipFill>
                    <a:blip r:embed="rId10" cstate="print">
                      <a:extLst>
                        <a:ext uri="{28A0092B-C50C-407E-A947-70E740481C1C}">
                          <a14:useLocalDpi xmlns:a14="http://schemas.microsoft.com/office/drawing/2010/main" val="0"/>
                        </a:ext>
                      </a:extLst>
                    </a:blip>
                    <a:srcRect l="2303" t="2721" r="11298" b="2949"/>
                    <a:stretch>
                      <a:fillRect/>
                    </a:stretch>
                  </pic:blipFill>
                  <pic:spPr>
                    <a:xfrm>
                      <a:off x="0" y="0"/>
                      <a:ext cx="5060882" cy="5103031"/>
                    </a:xfrm>
                    <a:prstGeom prst="rect">
                      <a:avLst/>
                    </a:prstGeom>
                    <a:noFill/>
                    <a:ln>
                      <a:noFill/>
                    </a:ln>
                  </pic:spPr>
                </pic:pic>
              </a:graphicData>
            </a:graphic>
          </wp:inline>
        </w:drawing>
      </w:r>
    </w:p>
    <w:p>
      <w:pPr>
        <w:spacing w:line="580" w:lineRule="exact"/>
        <w:ind w:firstLine="640"/>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三、采购内容</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供应商须按照采购人最终认可的展览方案，完成展览设计、制作及相关服务，包括：</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（一）在采购人提供的中国科技馆“虎年话虎”主题即时展览框架的基础上，完善提升展示内容；</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（二）完成所有展品的形式设计、结构设计、电气设计、脚本设计；</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（三）完成所有展品制作、多媒体制作、展板制作；</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（四）提供布撤展及在中国科学技术馆展览期间的技术保障服务。</w:t>
      </w:r>
    </w:p>
    <w:p>
      <w:pPr>
        <w:spacing w:line="580" w:lineRule="exact"/>
        <w:ind w:firstLine="640"/>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四、申报要求</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申报单位须完成以下相关工作，以考察申报单位的展览设计能力及服务能力：</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（一）制定本采购项目的总体进度计划和服务方案；</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（二）提供本采购项目平面、布局、展板及展品初步设计方案。</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（三）提供本采购项目制作团队组织架构，包含团队的成员介绍；</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（四）申报单位认为需要说明的其它文件。</w:t>
      </w:r>
    </w:p>
    <w:p>
      <w:pPr>
        <w:spacing w:line="580" w:lineRule="exact"/>
        <w:ind w:firstLine="640"/>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五、技术要求</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1.图文板、说明牌平面设计美观大方，图文板为上墙展品空间预留合理；平面布局合理、协调，可根据空间灵活调整；多媒体界面美观活泼，符合青少年的认知和操作特点。</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2.展台加工制作及实施方案详细、完整；展架设计及加工制作实施方案详细、完整、合理，易于移动、安装。</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3.选用材料坚固耐用，符合消防、环保要求,使用的材料环保等级应达到E1级或以上，木材、织布、橡胶、装饰等制作材料防火等级应达到B1级，提供相关认证证明。</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4.所有展板及展品表面平整光滑，无尖锐棱角。现场装卸施工应符合安全施工要求，并按照馆方要求办理相关手续。</w:t>
      </w:r>
    </w:p>
    <w:p>
      <w:pPr>
        <w:spacing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5.应保证展览期间所有展板、展品的稳固、安全，质保期应达到6</w:t>
      </w:r>
      <w:r>
        <w:rPr>
          <w:rFonts w:hint="eastAsia" w:asciiTheme="minorEastAsia" w:hAnsiTheme="minorEastAsia" w:eastAsiaTheme="minorEastAsia" w:cstheme="minorEastAsia"/>
          <w:sz w:val="24"/>
          <w:szCs w:val="24"/>
          <w:highlight w:val="none"/>
        </w:rPr>
        <w:t>个</w:t>
      </w:r>
      <w:r>
        <w:rPr>
          <w:rFonts w:hint="eastAsia" w:asciiTheme="minorEastAsia" w:hAnsiTheme="minorEastAsia" w:eastAsiaTheme="minorEastAsia" w:cstheme="minorEastAsia"/>
          <w:sz w:val="24"/>
          <w:szCs w:val="24"/>
        </w:rPr>
        <w:t>月以上，质保期间制作单位应提供及时有效的质保服务。</w:t>
      </w:r>
    </w:p>
    <w:p>
      <w:pPr>
        <w:spacing w:line="580" w:lineRule="exact"/>
        <w:ind w:firstLine="640"/>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六、进度安排</w:t>
      </w:r>
    </w:p>
    <w:p>
      <w:pPr>
        <w:spacing w:after="164" w:afterLines="50" w:line="58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自评审结束后，各时间节点如下：</w:t>
      </w:r>
    </w:p>
    <w:p>
      <w:pPr>
        <w:spacing w:after="164" w:afterLines="50" w:line="580" w:lineRule="exact"/>
        <w:ind w:firstLine="5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表2 展览进度安排</w:t>
      </w:r>
    </w:p>
    <w:tbl>
      <w:tblPr>
        <w:tblStyle w:val="3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时间节点</w:t>
            </w:r>
          </w:p>
        </w:tc>
        <w:tc>
          <w:tcPr>
            <w:tcW w:w="6656" w:type="dxa"/>
          </w:tcPr>
          <w:p>
            <w:pPr>
              <w:ind w:firstLine="64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5日内</w:t>
            </w:r>
          </w:p>
        </w:tc>
        <w:tc>
          <w:tcPr>
            <w:tcW w:w="6656"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完成方案优化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10日内</w:t>
            </w:r>
          </w:p>
        </w:tc>
        <w:tc>
          <w:tcPr>
            <w:tcW w:w="6656"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完成视频脚本、全部展品及展架、版面设计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15日内</w:t>
            </w:r>
          </w:p>
        </w:tc>
        <w:tc>
          <w:tcPr>
            <w:tcW w:w="6656"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完成全部展板、展品、视频制作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20日内</w:t>
            </w:r>
          </w:p>
        </w:tc>
        <w:tc>
          <w:tcPr>
            <w:tcW w:w="6656" w:type="dxa"/>
          </w:tcPr>
          <w:p>
            <w:pPr>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完成进场布展调试</w:t>
            </w:r>
          </w:p>
        </w:tc>
      </w:tr>
    </w:tbl>
    <w:p>
      <w:pPr>
        <w:spacing w:line="580" w:lineRule="exact"/>
        <w:ind w:firstLine="640"/>
        <w:rPr>
          <w:rFonts w:hint="eastAsia" w:asciiTheme="minorEastAsia" w:hAnsiTheme="minorEastAsia" w:eastAsiaTheme="minorEastAsia" w:cstheme="minorEastAsia"/>
          <w:color w:val="0000FF"/>
          <w:sz w:val="24"/>
          <w:szCs w:val="24"/>
        </w:rPr>
      </w:pPr>
    </w:p>
    <w:p>
      <w:pPr>
        <w:spacing w:line="580" w:lineRule="exact"/>
        <w:ind w:firstLine="640"/>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七、支付方式</w:t>
      </w:r>
    </w:p>
    <w:p>
      <w:pPr>
        <w:spacing w:line="580" w:lineRule="exact"/>
        <w:ind w:firstLine="64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（一）付款方式详见下表：</w:t>
      </w:r>
    </w:p>
    <w:p>
      <w:pPr>
        <w:spacing w:after="164" w:afterLines="50" w:line="580" w:lineRule="exact"/>
        <w:ind w:firstLine="5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表3 付款方式</w:t>
      </w:r>
    </w:p>
    <w:tbl>
      <w:tblPr>
        <w:tblStyle w:val="30"/>
        <w:tblW w:w="8651" w:type="dxa"/>
        <w:jc w:val="center"/>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07"/>
        <w:gridCol w:w="1911"/>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支付批次</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支付比例</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支付金额</w:t>
            </w: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64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第一批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40%</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640"/>
              <w:rPr>
                <w:rFonts w:hint="eastAsia" w:asciiTheme="minorEastAsia" w:hAnsiTheme="minorEastAsia" w:eastAsiaTheme="minorEastAsia" w:cstheme="minorEastAsia"/>
                <w:sz w:val="24"/>
                <w:szCs w:val="24"/>
                <w:lang w:val="zh-CN"/>
              </w:rPr>
            </w:pP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签订合同后，支付40%合同总款作为启动资金。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第二批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50%</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640"/>
              <w:rPr>
                <w:rFonts w:hint="eastAsia" w:asciiTheme="minorEastAsia" w:hAnsiTheme="minorEastAsia" w:eastAsiaTheme="minorEastAsia" w:cstheme="minorEastAsia"/>
                <w:sz w:val="24"/>
                <w:szCs w:val="24"/>
                <w:lang w:val="zh-CN"/>
              </w:rPr>
            </w:pP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展览集中验收通过，技术设计资料验收通过，完成布展后，支付50%合同总款。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第三批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10%</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640"/>
              <w:rPr>
                <w:rFonts w:hint="eastAsia" w:asciiTheme="minorEastAsia" w:hAnsiTheme="minorEastAsia" w:eastAsiaTheme="minorEastAsia" w:cstheme="minorEastAsia"/>
                <w:sz w:val="24"/>
                <w:szCs w:val="24"/>
                <w:lang w:val="zh-CN"/>
              </w:rPr>
            </w:pP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质量保证金，布展完成6个月后，支付10%合同总款。</w:t>
            </w:r>
          </w:p>
        </w:tc>
      </w:tr>
    </w:tbl>
    <w:p>
      <w:pPr>
        <w:spacing w:line="580" w:lineRule="exact"/>
        <w:ind w:firstLine="640"/>
        <w:rPr>
          <w:rFonts w:hint="eastAsia" w:asciiTheme="minorEastAsia" w:hAnsiTheme="minorEastAsia" w:eastAsiaTheme="minorEastAsia" w:cstheme="minorEastAsia"/>
          <w:color w:val="0000FF"/>
          <w:sz w:val="24"/>
          <w:szCs w:val="24"/>
          <w:lang w:val="zh-CN"/>
        </w:rPr>
      </w:pPr>
      <w:r>
        <w:rPr>
          <w:rFonts w:hint="eastAsia" w:asciiTheme="minorEastAsia" w:hAnsiTheme="minorEastAsia" w:eastAsiaTheme="minorEastAsia" w:cstheme="minorEastAsia"/>
          <w:sz w:val="24"/>
          <w:szCs w:val="24"/>
          <w:lang w:val="zh-CN"/>
        </w:rPr>
        <w:t>（二）每一笔付款前，乙方应向甲方出具支付申请函及合法、有效、等额的增值税专用发票,甲方审核无误后【30】天内向乙方付款。乙方延期提供发票的，甲方有权顺延付款时间，不承担任何违约责任。</w:t>
      </w:r>
    </w:p>
    <w:p>
      <w:pPr>
        <w:spacing w:line="580" w:lineRule="exact"/>
        <w:ind w:firstLine="640"/>
        <w:rPr>
          <w:rFonts w:ascii="仿宋_GB2312" w:hAnsi="Times New Roman" w:eastAsia="仿宋_GB2312" w:cs="Times New Roman"/>
          <w:color w:val="0000FF"/>
          <w:sz w:val="32"/>
          <w:szCs w:val="32"/>
          <w:lang w:val="zh-CN"/>
        </w:rPr>
      </w:pPr>
      <w:r>
        <w:rPr>
          <w:rFonts w:hint="eastAsia" w:ascii="仿宋_GB2312" w:hAnsi="Times New Roman" w:eastAsia="仿宋_GB2312" w:cs="Times New Roman"/>
          <w:color w:val="0000FF"/>
          <w:sz w:val="32"/>
          <w:szCs w:val="32"/>
          <w:lang w:val="zh-CN"/>
        </w:rPr>
        <w:br w:type="page"/>
      </w:r>
    </w:p>
    <w:p>
      <w:pPr>
        <w:pStyle w:val="36"/>
        <w:ind w:firstLine="643"/>
        <w:rPr>
          <w:sz w:val="32"/>
          <w:szCs w:val="32"/>
        </w:rPr>
      </w:pPr>
      <w:bookmarkStart w:id="2" w:name="_Toc79152753"/>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评审小组：由5人以上单数专家组成；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2"/>
        <w:rPr>
          <w:rFonts w:asciiTheme="minorEastAsia" w:hAnsiTheme="minorEastAsia" w:eastAsiaTheme="minorEastAsia"/>
          <w:szCs w:val="24"/>
        </w:rPr>
      </w:pPr>
      <w:r>
        <w:rPr>
          <w:rFonts w:hint="eastAsia"/>
          <w:b/>
        </w:rPr>
        <w:t>二、评分表</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842"/>
        <w:gridCol w:w="9"/>
        <w:gridCol w:w="48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评审项目</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分值</w:t>
            </w:r>
          </w:p>
        </w:tc>
        <w:tc>
          <w:tcPr>
            <w:tcW w:w="4819" w:type="dxa"/>
            <w:tcBorders>
              <w:top w:val="single" w:color="auto" w:sz="4" w:space="0"/>
              <w:left w:val="single" w:color="auto" w:sz="4" w:space="0"/>
              <w:bottom w:val="single" w:color="auto" w:sz="4" w:space="0"/>
              <w:right w:val="single" w:color="auto" w:sz="4" w:space="0"/>
            </w:tcBorders>
            <w:vAlign w:val="center"/>
          </w:tcPr>
          <w:p>
            <w:pPr>
              <w:ind w:firstLine="482"/>
              <w:jc w:val="center"/>
              <w:rPr>
                <w:b/>
                <w:szCs w:val="20"/>
              </w:rPr>
            </w:pPr>
            <w:r>
              <w:rPr>
                <w:rFonts w:hint="eastAsia"/>
                <w:b/>
                <w:szCs w:val="20"/>
              </w:rPr>
              <w:t>评分标准说明</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9039" w:type="dxa"/>
            <w:gridSpan w:val="6"/>
            <w:tcBorders>
              <w:top w:val="single" w:color="auto" w:sz="4" w:space="0"/>
              <w:left w:val="single" w:color="auto" w:sz="4" w:space="0"/>
              <w:bottom w:val="single" w:color="auto" w:sz="4" w:space="0"/>
              <w:right w:val="single" w:color="auto" w:sz="4" w:space="0"/>
            </w:tcBorders>
          </w:tcPr>
          <w:p>
            <w:pPr>
              <w:ind w:firstLine="482"/>
              <w:jc w:val="center"/>
              <w:rPr>
                <w:b/>
                <w:szCs w:val="20"/>
              </w:rPr>
            </w:pPr>
            <w:r>
              <w:rPr>
                <w:rFonts w:hint="eastAsia"/>
                <w:b/>
                <w:szCs w:val="20"/>
              </w:rPr>
              <w:t>一、价格部分</w:t>
            </w:r>
            <w:r>
              <w:rPr>
                <w:b/>
                <w:szCs w:val="20"/>
              </w:rPr>
              <w:t>35</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报价得分</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 w:val="21"/>
                <w:szCs w:val="21"/>
              </w:rPr>
              <w:t>3</w:t>
            </w:r>
            <w:r>
              <w:rPr>
                <w:sz w:val="21"/>
                <w:szCs w:val="21"/>
              </w:rPr>
              <w:t>5</w:t>
            </w:r>
            <w:r>
              <w:rPr>
                <w:rFonts w:hint="eastAsia"/>
                <w:sz w:val="21"/>
                <w:szCs w:val="21"/>
              </w:rPr>
              <w:t>分</w:t>
            </w:r>
          </w:p>
        </w:tc>
        <w:tc>
          <w:tcPr>
            <w:tcW w:w="4819"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得分＝（基准价/申报报价）×3</w:t>
            </w:r>
            <w:r>
              <w:rPr>
                <w:sz w:val="21"/>
                <w:szCs w:val="21"/>
              </w:rPr>
              <w:t>5</w:t>
            </w:r>
            <w:r>
              <w:rPr>
                <w:rFonts w:hint="eastAsia"/>
                <w:sz w:val="21"/>
                <w:szCs w:val="21"/>
              </w:rPr>
              <w:t>（计算至小数点后两位，下同）。</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0-3</w:t>
            </w:r>
            <w:r>
              <w:rPr>
                <w:szCs w:val="20"/>
              </w:rPr>
              <w:t>5</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9039" w:type="dxa"/>
            <w:gridSpan w:val="6"/>
            <w:tcBorders>
              <w:top w:val="single" w:color="auto" w:sz="4" w:space="0"/>
              <w:left w:val="single" w:color="auto" w:sz="4" w:space="0"/>
              <w:bottom w:val="single" w:color="auto" w:sz="4" w:space="0"/>
              <w:right w:val="single" w:color="auto" w:sz="4" w:space="0"/>
            </w:tcBorders>
            <w:vAlign w:val="center"/>
          </w:tcPr>
          <w:p>
            <w:pPr>
              <w:ind w:firstLine="482"/>
              <w:jc w:val="center"/>
              <w:rPr>
                <w:b/>
                <w:szCs w:val="20"/>
              </w:rPr>
            </w:pPr>
            <w:r>
              <w:rPr>
                <w:rFonts w:hint="eastAsia"/>
                <w:b/>
                <w:szCs w:val="20"/>
              </w:rPr>
              <w:t>二、商务部分</w:t>
            </w:r>
            <w:r>
              <w:rPr>
                <w:b/>
                <w:szCs w:val="20"/>
              </w:rPr>
              <w:t>5</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质量管理体系认证证明</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sz w:val="21"/>
                <w:szCs w:val="21"/>
              </w:rPr>
              <w:t>2分</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供应商提供有效的质量管理体系认证、环境管理体系认证。</w:t>
            </w:r>
          </w:p>
          <w:p>
            <w:pPr>
              <w:spacing w:line="240" w:lineRule="auto"/>
              <w:ind w:firstLine="0" w:firstLineChars="0"/>
              <w:rPr>
                <w:sz w:val="21"/>
                <w:szCs w:val="21"/>
              </w:rPr>
            </w:pPr>
            <w:r>
              <w:rPr>
                <w:rFonts w:hint="eastAsia"/>
                <w:sz w:val="21"/>
                <w:szCs w:val="21"/>
              </w:rPr>
              <w:t>每提供一个得</w:t>
            </w:r>
            <w:r>
              <w:rPr>
                <w:sz w:val="21"/>
                <w:szCs w:val="21"/>
              </w:rPr>
              <w:t>1分（需提供证书复印件），最多得2分。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r>
              <w:rPr>
                <w:rFonts w:hint="eastAsia"/>
                <w:szCs w:val="20"/>
              </w:rPr>
              <w:t>0-</w:t>
            </w:r>
            <w:r>
              <w:rPr>
                <w:szCs w:val="20"/>
              </w:rPr>
              <w:t>2</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sz w:val="21"/>
                <w:szCs w:val="21"/>
              </w:rPr>
              <w:t>类似项目业绩</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sz w:val="21"/>
                <w:szCs w:val="21"/>
              </w:rPr>
              <w:t>3</w:t>
            </w:r>
            <w:r>
              <w:rPr>
                <w:rFonts w:hint="eastAsia"/>
                <w:sz w:val="21"/>
                <w:szCs w:val="21"/>
              </w:rPr>
              <w:t>分</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 w:val="21"/>
                <w:szCs w:val="21"/>
              </w:rPr>
              <w:t>供应商近三年承担类似项目业绩，近三年是指2018年12月至申报文件递交截止日，业绩以提供合同为准，要求必须提供加盖公章的合同首页、服务内容页、合同金额所在页、签字盖章页复印件等。</w:t>
            </w:r>
          </w:p>
          <w:p>
            <w:pPr>
              <w:spacing w:line="240" w:lineRule="auto"/>
              <w:ind w:firstLine="0" w:firstLineChars="0"/>
              <w:rPr>
                <w:sz w:val="21"/>
                <w:szCs w:val="21"/>
              </w:rPr>
            </w:pPr>
            <w:r>
              <w:rPr>
                <w:rFonts w:hint="eastAsia"/>
                <w:sz w:val="21"/>
                <w:szCs w:val="21"/>
              </w:rPr>
              <w:t>每提供1个业绩得1分，最高得</w:t>
            </w:r>
            <w:r>
              <w:rPr>
                <w:sz w:val="21"/>
                <w:szCs w:val="21"/>
              </w:rPr>
              <w:t>3</w:t>
            </w:r>
            <w:r>
              <w:rPr>
                <w:rFonts w:hint="eastAsia"/>
                <w:sz w:val="21"/>
                <w:szCs w:val="21"/>
              </w:rPr>
              <w:t>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r>
              <w:rPr>
                <w:rFonts w:hint="eastAsia"/>
                <w:szCs w:val="20"/>
              </w:rPr>
              <w:t>0-</w:t>
            </w:r>
            <w:r>
              <w:rPr>
                <w:szCs w:val="20"/>
              </w:rPr>
              <w:t>3</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9039" w:type="dxa"/>
            <w:gridSpan w:val="6"/>
            <w:tcBorders>
              <w:top w:val="single" w:color="auto" w:sz="4" w:space="0"/>
              <w:left w:val="single" w:color="auto" w:sz="4" w:space="0"/>
              <w:bottom w:val="single" w:color="auto" w:sz="4" w:space="0"/>
              <w:right w:val="single" w:color="auto" w:sz="4" w:space="0"/>
            </w:tcBorders>
            <w:vAlign w:val="center"/>
          </w:tcPr>
          <w:p>
            <w:pPr>
              <w:ind w:firstLine="482"/>
              <w:jc w:val="center"/>
              <w:rPr>
                <w:b/>
                <w:szCs w:val="20"/>
              </w:rPr>
            </w:pPr>
            <w:r>
              <w:rPr>
                <w:rFonts w:hint="eastAsia"/>
                <w:b/>
                <w:szCs w:val="20"/>
              </w:rPr>
              <w:t>三、技术部分60分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101" w:type="dxa"/>
            <w:vMerge w:val="restart"/>
            <w:tcBorders>
              <w:top w:val="single" w:color="auto" w:sz="4" w:space="0"/>
              <w:left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 w:val="21"/>
                <w:szCs w:val="21"/>
              </w:rPr>
              <w:t>形式设计</w:t>
            </w:r>
          </w:p>
        </w:tc>
        <w:tc>
          <w:tcPr>
            <w:tcW w:w="1275"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整体设计</w:t>
            </w:r>
          </w:p>
          <w:p>
            <w:pPr>
              <w:spacing w:line="240" w:lineRule="auto"/>
              <w:ind w:firstLine="0" w:firstLineChars="0"/>
              <w:jc w:val="center"/>
              <w:rPr>
                <w:sz w:val="21"/>
                <w:szCs w:val="21"/>
              </w:rPr>
            </w:pPr>
            <w:r>
              <w:rPr>
                <w:rFonts w:hint="eastAsia"/>
                <w:sz w:val="21"/>
                <w:szCs w:val="21"/>
              </w:rPr>
              <w:t>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5</w:t>
            </w:r>
            <w:r>
              <w:rPr>
                <w:rFonts w:hint="eastAsia"/>
                <w:sz w:val="21"/>
                <w:szCs w:val="21"/>
              </w:rPr>
              <w:t>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设计方案详细、完整、合理、可行，色彩搭配合理，视觉效果佳。</w:t>
            </w:r>
          </w:p>
          <w:p>
            <w:pPr>
              <w:spacing w:line="240" w:lineRule="auto"/>
              <w:ind w:firstLine="0" w:firstLineChars="0"/>
              <w:rPr>
                <w:sz w:val="21"/>
                <w:szCs w:val="21"/>
              </w:rPr>
            </w:pPr>
            <w:r>
              <w:rPr>
                <w:rFonts w:hint="eastAsia"/>
                <w:sz w:val="21"/>
                <w:szCs w:val="21"/>
              </w:rPr>
              <w:t>（1）完全满足得</w:t>
            </w:r>
            <w:r>
              <w:rPr>
                <w:sz w:val="21"/>
                <w:szCs w:val="21"/>
              </w:rPr>
              <w:t>5</w:t>
            </w:r>
            <w:r>
              <w:rPr>
                <w:rFonts w:hint="eastAsia"/>
                <w:sz w:val="21"/>
                <w:szCs w:val="21"/>
              </w:rPr>
              <w:t>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Cs w:val="20"/>
              </w:rPr>
              <w:t>0-</w:t>
            </w:r>
            <w:r>
              <w:rPr>
                <w:szCs w:val="20"/>
              </w:rPr>
              <w:t>5</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101" w:type="dxa"/>
            <w:vMerge w:val="continue"/>
            <w:tcBorders>
              <w:left w:val="single" w:color="auto" w:sz="4" w:space="0"/>
              <w:right w:val="single" w:color="auto" w:sz="4" w:space="0"/>
            </w:tcBorders>
            <w:vAlign w:val="center"/>
          </w:tcPr>
          <w:p>
            <w:pPr>
              <w:ind w:firstLine="0" w:firstLineChars="0"/>
              <w:jc w:val="left"/>
              <w:rPr>
                <w:sz w:val="21"/>
                <w:szCs w:val="21"/>
              </w:rPr>
            </w:pPr>
          </w:p>
        </w:tc>
        <w:tc>
          <w:tcPr>
            <w:tcW w:w="1275"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平面设计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5</w:t>
            </w:r>
            <w:r>
              <w:rPr>
                <w:rFonts w:hint="eastAsia"/>
                <w:sz w:val="21"/>
                <w:szCs w:val="21"/>
              </w:rPr>
              <w:t>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图文板、说明牌平面设计美观大方，图文板为上墙展品空间预留合理。</w:t>
            </w:r>
          </w:p>
          <w:p>
            <w:pPr>
              <w:spacing w:line="240" w:lineRule="auto"/>
              <w:ind w:firstLine="0" w:firstLineChars="0"/>
              <w:rPr>
                <w:sz w:val="21"/>
                <w:szCs w:val="21"/>
              </w:rPr>
            </w:pPr>
            <w:r>
              <w:rPr>
                <w:rFonts w:hint="eastAsia"/>
                <w:sz w:val="21"/>
                <w:szCs w:val="21"/>
              </w:rPr>
              <w:t>（1）完全满足得5分；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101" w:type="dxa"/>
            <w:vMerge w:val="continue"/>
            <w:tcBorders>
              <w:left w:val="single" w:color="auto" w:sz="4" w:space="0"/>
              <w:right w:val="single" w:color="auto" w:sz="4" w:space="0"/>
            </w:tcBorders>
            <w:vAlign w:val="center"/>
          </w:tcPr>
          <w:p>
            <w:pPr>
              <w:ind w:firstLine="0" w:firstLineChars="0"/>
              <w:rPr>
                <w:sz w:val="21"/>
                <w:szCs w:val="21"/>
              </w:rPr>
            </w:pPr>
          </w:p>
        </w:tc>
        <w:tc>
          <w:tcPr>
            <w:tcW w:w="1275"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布局设计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5</w:t>
            </w:r>
            <w:r>
              <w:rPr>
                <w:rFonts w:hint="eastAsia"/>
                <w:sz w:val="21"/>
                <w:szCs w:val="21"/>
              </w:rPr>
              <w:t>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布局合理、协调，可根据展览空间灵活调整。</w:t>
            </w:r>
          </w:p>
          <w:p>
            <w:pPr>
              <w:spacing w:line="240" w:lineRule="auto"/>
              <w:ind w:firstLine="0" w:firstLineChars="0"/>
              <w:rPr>
                <w:sz w:val="21"/>
                <w:szCs w:val="21"/>
              </w:rPr>
            </w:pPr>
            <w:r>
              <w:rPr>
                <w:rFonts w:hint="eastAsia"/>
                <w:sz w:val="21"/>
                <w:szCs w:val="21"/>
              </w:rPr>
              <w:t>（1）完全满足得5分；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101" w:type="dxa"/>
            <w:vMerge w:val="continue"/>
            <w:tcBorders>
              <w:left w:val="single" w:color="auto" w:sz="4" w:space="0"/>
              <w:right w:val="single" w:color="auto" w:sz="4" w:space="0"/>
            </w:tcBorders>
            <w:vAlign w:val="center"/>
          </w:tcPr>
          <w:p>
            <w:pPr>
              <w:ind w:firstLine="0" w:firstLineChars="0"/>
              <w:rPr>
                <w:sz w:val="21"/>
                <w:szCs w:val="21"/>
              </w:rPr>
            </w:pPr>
          </w:p>
        </w:tc>
        <w:tc>
          <w:tcPr>
            <w:tcW w:w="1275" w:type="dxa"/>
          </w:tcPr>
          <w:p>
            <w:pPr>
              <w:spacing w:line="240" w:lineRule="auto"/>
              <w:ind w:firstLine="0" w:firstLineChars="0"/>
              <w:jc w:val="center"/>
              <w:rPr>
                <w:sz w:val="21"/>
                <w:szCs w:val="21"/>
              </w:rPr>
            </w:pPr>
          </w:p>
          <w:p>
            <w:pPr>
              <w:spacing w:line="240" w:lineRule="auto"/>
              <w:ind w:firstLine="0" w:firstLineChars="0"/>
              <w:jc w:val="center"/>
              <w:rPr>
                <w:sz w:val="21"/>
                <w:szCs w:val="21"/>
              </w:rPr>
            </w:pPr>
          </w:p>
          <w:p>
            <w:pPr>
              <w:spacing w:line="240" w:lineRule="auto"/>
              <w:ind w:firstLine="0" w:firstLineChars="0"/>
              <w:jc w:val="center"/>
              <w:rPr>
                <w:sz w:val="21"/>
                <w:szCs w:val="21"/>
              </w:rPr>
            </w:pPr>
            <w:r>
              <w:rPr>
                <w:rFonts w:hint="eastAsia"/>
                <w:sz w:val="21"/>
                <w:szCs w:val="21"/>
              </w:rPr>
              <w:t>多媒体界面设计</w:t>
            </w:r>
          </w:p>
        </w:tc>
        <w:tc>
          <w:tcPr>
            <w:tcW w:w="842" w:type="dxa"/>
          </w:tcPr>
          <w:p>
            <w:pPr>
              <w:spacing w:line="240" w:lineRule="auto"/>
              <w:ind w:firstLine="0" w:firstLineChars="0"/>
              <w:jc w:val="center"/>
              <w:rPr>
                <w:sz w:val="21"/>
                <w:szCs w:val="21"/>
              </w:rPr>
            </w:pPr>
          </w:p>
          <w:p>
            <w:pPr>
              <w:spacing w:line="240" w:lineRule="auto"/>
              <w:ind w:firstLine="0" w:firstLineChars="0"/>
              <w:jc w:val="center"/>
              <w:rPr>
                <w:sz w:val="21"/>
                <w:szCs w:val="21"/>
              </w:rPr>
            </w:pPr>
          </w:p>
          <w:p>
            <w:pPr>
              <w:spacing w:line="240" w:lineRule="auto"/>
              <w:ind w:firstLine="0" w:firstLineChars="0"/>
              <w:jc w:val="center"/>
              <w:rPr>
                <w:sz w:val="21"/>
                <w:szCs w:val="21"/>
              </w:rPr>
            </w:pPr>
            <w:r>
              <w:rPr>
                <w:rFonts w:hint="eastAsia"/>
                <w:sz w:val="21"/>
                <w:szCs w:val="21"/>
              </w:rPr>
              <w:t>5分</w:t>
            </w:r>
          </w:p>
        </w:tc>
        <w:tc>
          <w:tcPr>
            <w:tcW w:w="4828" w:type="dxa"/>
            <w:gridSpan w:val="2"/>
          </w:tcPr>
          <w:p>
            <w:pPr>
              <w:spacing w:line="240" w:lineRule="auto"/>
              <w:ind w:firstLine="0" w:firstLineChars="0"/>
              <w:rPr>
                <w:sz w:val="21"/>
                <w:szCs w:val="21"/>
              </w:rPr>
            </w:pPr>
            <w:bookmarkStart w:id="3" w:name="_Hlk91505666"/>
            <w:bookmarkStart w:id="4" w:name="_Hlk91504060"/>
            <w:r>
              <w:rPr>
                <w:rFonts w:hint="eastAsia"/>
                <w:sz w:val="21"/>
                <w:szCs w:val="21"/>
              </w:rPr>
              <w:t>多媒体界面美观活泼，符合青少年的认知和操作特点</w:t>
            </w:r>
            <w:bookmarkEnd w:id="3"/>
            <w:r>
              <w:rPr>
                <w:rFonts w:hint="eastAsia"/>
                <w:sz w:val="21"/>
                <w:szCs w:val="21"/>
              </w:rPr>
              <w:t>。</w:t>
            </w:r>
          </w:p>
          <w:bookmarkEnd w:id="4"/>
          <w:p>
            <w:pPr>
              <w:spacing w:line="240" w:lineRule="auto"/>
              <w:ind w:firstLine="0" w:firstLineChars="0"/>
              <w:rPr>
                <w:sz w:val="21"/>
                <w:szCs w:val="21"/>
              </w:rPr>
            </w:pPr>
            <w:r>
              <w:rPr>
                <w:rFonts w:hint="eastAsia"/>
                <w:sz w:val="21"/>
                <w:szCs w:val="21"/>
              </w:rPr>
              <w:t>（1）完全满足得5分；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101" w:type="dxa"/>
            <w:vMerge w:val="restart"/>
            <w:tcBorders>
              <w:top w:val="single" w:color="auto" w:sz="4" w:space="0"/>
              <w:left w:val="single" w:color="auto" w:sz="4" w:space="0"/>
              <w:right w:val="single" w:color="auto" w:sz="4" w:space="0"/>
            </w:tcBorders>
            <w:vAlign w:val="center"/>
          </w:tcPr>
          <w:p>
            <w:pPr>
              <w:ind w:firstLine="0" w:firstLineChars="0"/>
              <w:rPr>
                <w:sz w:val="21"/>
                <w:szCs w:val="21"/>
              </w:rPr>
            </w:pPr>
            <w:r>
              <w:rPr>
                <w:rFonts w:hint="eastAsia"/>
                <w:sz w:val="21"/>
                <w:szCs w:val="21"/>
              </w:rPr>
              <w:t>工艺设计</w:t>
            </w:r>
          </w:p>
        </w:tc>
        <w:tc>
          <w:tcPr>
            <w:tcW w:w="1275" w:type="dxa"/>
          </w:tcPr>
          <w:p>
            <w:pPr>
              <w:spacing w:line="240" w:lineRule="auto"/>
              <w:ind w:firstLine="0" w:firstLineChars="0"/>
              <w:jc w:val="center"/>
              <w:rPr>
                <w:sz w:val="21"/>
                <w:szCs w:val="21"/>
              </w:rPr>
            </w:pPr>
          </w:p>
          <w:p>
            <w:pPr>
              <w:spacing w:line="240" w:lineRule="auto"/>
              <w:ind w:firstLine="0" w:firstLineChars="0"/>
              <w:jc w:val="center"/>
              <w:rPr>
                <w:sz w:val="21"/>
                <w:szCs w:val="21"/>
              </w:rPr>
            </w:pPr>
            <w:r>
              <w:rPr>
                <w:rFonts w:hint="eastAsia"/>
                <w:sz w:val="21"/>
                <w:szCs w:val="21"/>
              </w:rPr>
              <w:t>展台设计</w:t>
            </w:r>
          </w:p>
        </w:tc>
        <w:tc>
          <w:tcPr>
            <w:tcW w:w="842" w:type="dxa"/>
          </w:tcPr>
          <w:p>
            <w:pPr>
              <w:spacing w:line="240" w:lineRule="auto"/>
              <w:ind w:firstLine="0" w:firstLineChars="0"/>
              <w:jc w:val="center"/>
              <w:rPr>
                <w:sz w:val="21"/>
                <w:szCs w:val="21"/>
              </w:rPr>
            </w:pPr>
          </w:p>
          <w:p>
            <w:pPr>
              <w:spacing w:line="240" w:lineRule="auto"/>
              <w:ind w:firstLine="0" w:firstLineChars="0"/>
              <w:jc w:val="center"/>
              <w:rPr>
                <w:sz w:val="21"/>
                <w:szCs w:val="21"/>
              </w:rPr>
            </w:pPr>
            <w:r>
              <w:rPr>
                <w:rFonts w:hint="eastAsia"/>
                <w:sz w:val="21"/>
                <w:szCs w:val="21"/>
              </w:rPr>
              <w:t>5分</w:t>
            </w:r>
          </w:p>
        </w:tc>
        <w:tc>
          <w:tcPr>
            <w:tcW w:w="4828" w:type="dxa"/>
            <w:gridSpan w:val="2"/>
          </w:tcPr>
          <w:p>
            <w:pPr>
              <w:spacing w:line="240" w:lineRule="auto"/>
              <w:ind w:firstLine="0" w:firstLineChars="0"/>
              <w:rPr>
                <w:rFonts w:cs="宋体"/>
                <w:bCs/>
                <w:sz w:val="21"/>
                <w:szCs w:val="21"/>
              </w:rPr>
            </w:pPr>
            <w:bookmarkStart w:id="5" w:name="_Hlk91504092"/>
            <w:r>
              <w:rPr>
                <w:rFonts w:hint="eastAsia" w:cs="宋体"/>
                <w:bCs/>
                <w:sz w:val="21"/>
                <w:szCs w:val="21"/>
              </w:rPr>
              <w:t>展台</w:t>
            </w:r>
            <w:r>
              <w:rPr>
                <w:rFonts w:cs="宋体"/>
                <w:bCs/>
                <w:sz w:val="21"/>
                <w:szCs w:val="21"/>
              </w:rPr>
              <w:t>加工制作及</w:t>
            </w:r>
            <w:r>
              <w:rPr>
                <w:rFonts w:hint="eastAsia" w:cs="宋体"/>
                <w:bCs/>
                <w:sz w:val="21"/>
                <w:szCs w:val="21"/>
              </w:rPr>
              <w:t>实施方案详细、完整。</w:t>
            </w:r>
          </w:p>
          <w:bookmarkEnd w:id="5"/>
          <w:p>
            <w:pPr>
              <w:spacing w:line="240" w:lineRule="auto"/>
              <w:ind w:firstLine="0" w:firstLineChars="0"/>
              <w:rPr>
                <w:sz w:val="21"/>
                <w:szCs w:val="21"/>
              </w:rPr>
            </w:pPr>
            <w:r>
              <w:rPr>
                <w:rFonts w:hint="eastAsia"/>
                <w:sz w:val="21"/>
                <w:szCs w:val="21"/>
              </w:rPr>
              <w:t>（1）完全满足得5分；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101" w:type="dxa"/>
            <w:vMerge w:val="continue"/>
            <w:tcBorders>
              <w:left w:val="single" w:color="auto" w:sz="4" w:space="0"/>
              <w:right w:val="single" w:color="auto" w:sz="4" w:space="0"/>
            </w:tcBorders>
            <w:vAlign w:val="center"/>
          </w:tcPr>
          <w:p>
            <w:pPr>
              <w:ind w:firstLine="0" w:firstLineChars="0"/>
              <w:rPr>
                <w:sz w:val="21"/>
                <w:szCs w:val="21"/>
              </w:rPr>
            </w:pPr>
          </w:p>
        </w:tc>
        <w:tc>
          <w:tcPr>
            <w:tcW w:w="1275"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展架结构</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展架设计及</w:t>
            </w:r>
            <w:r>
              <w:rPr>
                <w:sz w:val="21"/>
                <w:szCs w:val="21"/>
              </w:rPr>
              <w:t>加工制作</w:t>
            </w:r>
            <w:r>
              <w:rPr>
                <w:rFonts w:hint="eastAsia"/>
                <w:sz w:val="21"/>
                <w:szCs w:val="21"/>
              </w:rPr>
              <w:t>实施方案详细、完整、合理，易于移动、安装。</w:t>
            </w:r>
          </w:p>
          <w:p>
            <w:pPr>
              <w:spacing w:line="240" w:lineRule="auto"/>
              <w:ind w:firstLine="0" w:firstLineChars="0"/>
              <w:rPr>
                <w:sz w:val="21"/>
                <w:szCs w:val="21"/>
              </w:rPr>
            </w:pPr>
            <w:r>
              <w:rPr>
                <w:rFonts w:hint="eastAsia"/>
                <w:sz w:val="21"/>
                <w:szCs w:val="21"/>
              </w:rPr>
              <w:t>（1）完全满足得5分；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101" w:type="dxa"/>
            <w:vMerge w:val="continue"/>
            <w:tcBorders>
              <w:left w:val="single" w:color="auto" w:sz="4" w:space="0"/>
              <w:right w:val="single" w:color="auto" w:sz="4" w:space="0"/>
            </w:tcBorders>
            <w:vAlign w:val="center"/>
          </w:tcPr>
          <w:p>
            <w:pPr>
              <w:ind w:firstLine="0" w:firstLineChars="0"/>
              <w:rPr>
                <w:sz w:val="21"/>
                <w:szCs w:val="21"/>
              </w:rPr>
            </w:pPr>
          </w:p>
        </w:tc>
        <w:tc>
          <w:tcPr>
            <w:tcW w:w="1275"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用料选材</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选用</w:t>
            </w:r>
            <w:r>
              <w:rPr>
                <w:sz w:val="21"/>
                <w:szCs w:val="21"/>
              </w:rPr>
              <w:t>材料</w:t>
            </w:r>
            <w:r>
              <w:rPr>
                <w:rFonts w:hint="eastAsia"/>
                <w:sz w:val="21"/>
                <w:szCs w:val="21"/>
              </w:rPr>
              <w:t>坚固耐用，</w:t>
            </w:r>
            <w:r>
              <w:rPr>
                <w:sz w:val="21"/>
                <w:szCs w:val="21"/>
              </w:rPr>
              <w:t>符合</w:t>
            </w:r>
            <w:r>
              <w:rPr>
                <w:rFonts w:hint="eastAsia"/>
                <w:sz w:val="21"/>
                <w:szCs w:val="21"/>
              </w:rPr>
              <w:t>消防、</w:t>
            </w:r>
            <w:r>
              <w:rPr>
                <w:sz w:val="21"/>
                <w:szCs w:val="21"/>
              </w:rPr>
              <w:t>环保</w:t>
            </w:r>
            <w:r>
              <w:rPr>
                <w:rFonts w:hint="eastAsia"/>
                <w:sz w:val="21"/>
                <w:szCs w:val="21"/>
              </w:rPr>
              <w:t>要求,使用的材料环保等级应达到</w:t>
            </w:r>
            <w:r>
              <w:rPr>
                <w:sz w:val="21"/>
                <w:szCs w:val="21"/>
              </w:rPr>
              <w:t>E1级或以上</w:t>
            </w:r>
            <w:r>
              <w:rPr>
                <w:rFonts w:hint="eastAsia"/>
                <w:sz w:val="21"/>
                <w:szCs w:val="21"/>
              </w:rPr>
              <w:t>，木材、织布、橡胶、装饰等制作材料防火等级应达到</w:t>
            </w:r>
            <w:r>
              <w:rPr>
                <w:sz w:val="21"/>
                <w:szCs w:val="21"/>
              </w:rPr>
              <w:t>B1级</w:t>
            </w:r>
            <w:r>
              <w:rPr>
                <w:rFonts w:hint="eastAsia"/>
                <w:sz w:val="21"/>
                <w:szCs w:val="21"/>
              </w:rPr>
              <w:t>，提供相关认证证明。</w:t>
            </w:r>
          </w:p>
          <w:p>
            <w:pPr>
              <w:spacing w:line="240" w:lineRule="auto"/>
              <w:ind w:firstLine="0" w:firstLineChars="0"/>
              <w:rPr>
                <w:sz w:val="21"/>
                <w:szCs w:val="21"/>
              </w:rPr>
            </w:pPr>
            <w:r>
              <w:rPr>
                <w:rFonts w:hint="eastAsia"/>
                <w:sz w:val="21"/>
                <w:szCs w:val="21"/>
              </w:rPr>
              <w:t>（1）完全满足得5分；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101" w:type="dxa"/>
            <w:vMerge w:val="continue"/>
            <w:tcBorders>
              <w:left w:val="single" w:color="auto" w:sz="4" w:space="0"/>
              <w:right w:val="single" w:color="auto" w:sz="4" w:space="0"/>
            </w:tcBorders>
            <w:vAlign w:val="center"/>
          </w:tcPr>
          <w:p>
            <w:pPr>
              <w:ind w:firstLine="0" w:firstLineChars="0"/>
              <w:rPr>
                <w:sz w:val="21"/>
                <w:szCs w:val="21"/>
              </w:rPr>
            </w:pPr>
          </w:p>
        </w:tc>
        <w:tc>
          <w:tcPr>
            <w:tcW w:w="1275"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计划进度</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5</w:t>
            </w:r>
            <w:r>
              <w:rPr>
                <w:rFonts w:hint="eastAsia"/>
                <w:sz w:val="21"/>
                <w:szCs w:val="21"/>
              </w:rPr>
              <w:t>分</w:t>
            </w:r>
          </w:p>
        </w:tc>
        <w:tc>
          <w:tcPr>
            <w:tcW w:w="4828" w:type="dxa"/>
            <w:gridSpan w:val="2"/>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rPr>
                <w:sz w:val="21"/>
                <w:szCs w:val="21"/>
              </w:rPr>
            </w:pPr>
            <w:r>
              <w:rPr>
                <w:rFonts w:hint="eastAsia"/>
                <w:sz w:val="21"/>
                <w:szCs w:val="21"/>
              </w:rPr>
              <w:t>进度计划及控制措施方案安排合理、措施可控。</w:t>
            </w:r>
          </w:p>
          <w:p>
            <w:pPr>
              <w:widowControl/>
              <w:spacing w:line="240" w:lineRule="auto"/>
              <w:ind w:firstLine="0" w:firstLineChars="0"/>
              <w:rPr>
                <w:sz w:val="21"/>
                <w:szCs w:val="21"/>
              </w:rPr>
            </w:pPr>
            <w:r>
              <w:rPr>
                <w:rFonts w:hint="eastAsia"/>
                <w:sz w:val="21"/>
                <w:szCs w:val="21"/>
              </w:rPr>
              <w:t>（1）实施方案内容完整，完全满足项目履约要求：</w:t>
            </w:r>
            <w:r>
              <w:rPr>
                <w:sz w:val="21"/>
                <w:szCs w:val="21"/>
              </w:rPr>
              <w:t>5</w:t>
            </w:r>
            <w:r>
              <w:rPr>
                <w:rFonts w:hint="eastAsia"/>
                <w:sz w:val="21"/>
                <w:szCs w:val="21"/>
              </w:rPr>
              <w:t>分；</w:t>
            </w:r>
          </w:p>
          <w:p>
            <w:pPr>
              <w:widowControl/>
              <w:spacing w:line="240" w:lineRule="auto"/>
              <w:ind w:firstLine="0" w:firstLineChars="0"/>
              <w:rPr>
                <w:sz w:val="21"/>
                <w:szCs w:val="21"/>
              </w:rPr>
            </w:pPr>
            <w:r>
              <w:rPr>
                <w:rFonts w:hint="eastAsia"/>
                <w:sz w:val="21"/>
                <w:szCs w:val="21"/>
              </w:rPr>
              <w:t>（2）实施方案内容简单、通用，基本满足项目履约要求：</w:t>
            </w:r>
            <w:r>
              <w:rPr>
                <w:sz w:val="21"/>
                <w:szCs w:val="21"/>
              </w:rPr>
              <w:t>3</w:t>
            </w:r>
            <w:r>
              <w:rPr>
                <w:rFonts w:hint="eastAsia"/>
                <w:sz w:val="21"/>
                <w:szCs w:val="21"/>
              </w:rPr>
              <w:t>分；</w:t>
            </w:r>
          </w:p>
          <w:p>
            <w:pPr>
              <w:widowControl/>
              <w:spacing w:line="240" w:lineRule="auto"/>
              <w:ind w:firstLine="0" w:firstLineChars="0"/>
              <w:rPr>
                <w:sz w:val="21"/>
                <w:szCs w:val="21"/>
              </w:rPr>
            </w:pPr>
            <w:r>
              <w:rPr>
                <w:rFonts w:hint="eastAsia"/>
                <w:sz w:val="21"/>
                <w:szCs w:val="21"/>
              </w:rPr>
              <w:t>（3）实施方案内容有欠缺，仅部分满足项目履约要求：</w:t>
            </w:r>
            <w:r>
              <w:rPr>
                <w:sz w:val="21"/>
                <w:szCs w:val="21"/>
              </w:rPr>
              <w:t>1</w:t>
            </w:r>
            <w:r>
              <w:rPr>
                <w:rFonts w:hint="eastAsia"/>
                <w:sz w:val="21"/>
                <w:szCs w:val="21"/>
              </w:rPr>
              <w:t>分；</w:t>
            </w:r>
          </w:p>
          <w:p>
            <w:pPr>
              <w:widowControl/>
              <w:spacing w:line="240" w:lineRule="auto"/>
              <w:ind w:firstLine="0" w:firstLineChars="0"/>
              <w:rPr>
                <w:sz w:val="21"/>
                <w:szCs w:val="21"/>
              </w:rPr>
            </w:pPr>
            <w:r>
              <w:rPr>
                <w:rFonts w:hint="eastAsia"/>
                <w:sz w:val="21"/>
                <w:szCs w:val="21"/>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w:t>
            </w:r>
            <w:r>
              <w:rPr>
                <w:szCs w:val="20"/>
              </w:rPr>
              <w:t>5</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安全保证措施</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5分</w:t>
            </w:r>
          </w:p>
        </w:tc>
        <w:tc>
          <w:tcPr>
            <w:tcW w:w="4828" w:type="dxa"/>
            <w:gridSpan w:val="2"/>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rPr>
                <w:sz w:val="21"/>
                <w:szCs w:val="21"/>
              </w:rPr>
            </w:pPr>
            <w:r>
              <w:rPr>
                <w:rFonts w:hint="eastAsia"/>
                <w:sz w:val="21"/>
                <w:szCs w:val="21"/>
              </w:rPr>
              <w:t>供应商提供对现场施工及开展后运行期间的安全保障及安全维护措施，安全保障措施包含不限于在中国科学技术馆展出期间对故障的响应及时，备品备件准备充分，故障排除方案合理性及可行性。</w:t>
            </w:r>
          </w:p>
          <w:p>
            <w:pPr>
              <w:spacing w:line="240" w:lineRule="auto"/>
              <w:ind w:firstLine="0" w:firstLineChars="0"/>
              <w:rPr>
                <w:sz w:val="21"/>
                <w:szCs w:val="21"/>
              </w:rPr>
            </w:pPr>
            <w:r>
              <w:rPr>
                <w:rFonts w:hint="eastAsia"/>
                <w:sz w:val="21"/>
                <w:szCs w:val="21"/>
              </w:rPr>
              <w:t>（1）完全满足得5分；</w:t>
            </w:r>
          </w:p>
          <w:p>
            <w:pPr>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项目团队</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5</w:t>
            </w:r>
            <w:r>
              <w:rPr>
                <w:rFonts w:hint="eastAsia"/>
                <w:sz w:val="21"/>
                <w:szCs w:val="21"/>
              </w:rPr>
              <w:t>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项目团队人员合理、分工明确，涵盖策划人员、美术设计、多媒体设计、机械设计、电气控制人员，相关技术人员需提供学历、学位或职业证书等证明材料。</w:t>
            </w:r>
          </w:p>
          <w:p>
            <w:pPr>
              <w:spacing w:line="240" w:lineRule="auto"/>
              <w:ind w:firstLine="0" w:firstLineChars="0"/>
              <w:rPr>
                <w:sz w:val="21"/>
                <w:szCs w:val="21"/>
              </w:rPr>
            </w:pPr>
            <w:r>
              <w:rPr>
                <w:rFonts w:hint="eastAsia"/>
                <w:sz w:val="21"/>
                <w:szCs w:val="21"/>
              </w:rPr>
              <w:t>每有</w:t>
            </w:r>
            <w:r>
              <w:rPr>
                <w:sz w:val="21"/>
                <w:szCs w:val="21"/>
              </w:rPr>
              <w:t>1</w:t>
            </w:r>
            <w:r>
              <w:rPr>
                <w:rFonts w:hint="eastAsia"/>
                <w:sz w:val="21"/>
                <w:szCs w:val="21"/>
              </w:rPr>
              <w:t>类人员得1分。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自有制作条件</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供应商有固定的生产制作加工场地、主要设备、仪器，满足项目需要。场地要求提供产权证明或长期租赁合同以及设备、仪器清单，设计、制造方面的人才。专业技术能力雄厚，保证产品质量，满足展品制作工艺要求。</w:t>
            </w:r>
          </w:p>
          <w:p>
            <w:pPr>
              <w:spacing w:line="240" w:lineRule="auto"/>
              <w:ind w:firstLine="0" w:firstLineChars="0"/>
              <w:rPr>
                <w:sz w:val="21"/>
                <w:szCs w:val="21"/>
              </w:rPr>
            </w:pPr>
            <w:r>
              <w:rPr>
                <w:rFonts w:hint="eastAsia"/>
                <w:sz w:val="21"/>
                <w:szCs w:val="21"/>
              </w:rPr>
              <w:t>（</w:t>
            </w:r>
            <w:r>
              <w:rPr>
                <w:sz w:val="21"/>
                <w:szCs w:val="21"/>
              </w:rPr>
              <w:t>1）完全满足要求得5</w:t>
            </w:r>
            <w:r>
              <w:rPr>
                <w:rFonts w:hint="eastAsia"/>
                <w:sz w:val="21"/>
                <w:szCs w:val="21"/>
              </w:rPr>
              <w:t>分；</w:t>
            </w:r>
          </w:p>
          <w:p>
            <w:pPr>
              <w:spacing w:line="240" w:lineRule="auto"/>
              <w:ind w:firstLine="0" w:firstLineChars="0"/>
              <w:rPr>
                <w:sz w:val="21"/>
                <w:szCs w:val="21"/>
              </w:rPr>
            </w:pPr>
            <w:r>
              <w:rPr>
                <w:rFonts w:hint="eastAsia"/>
                <w:sz w:val="21"/>
                <w:szCs w:val="21"/>
              </w:rPr>
              <w:t>（</w:t>
            </w:r>
            <w:r>
              <w:rPr>
                <w:sz w:val="21"/>
                <w:szCs w:val="21"/>
              </w:rPr>
              <w:t>2）部分满足要求</w:t>
            </w:r>
            <w:r>
              <w:rPr>
                <w:rFonts w:hint="eastAsia"/>
                <w:sz w:val="21"/>
                <w:szCs w:val="21"/>
              </w:rPr>
              <w:t>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售后服务方案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sz w:val="21"/>
                <w:szCs w:val="21"/>
              </w:rPr>
            </w:pPr>
            <w:r>
              <w:rPr>
                <w:rFonts w:hint="eastAsia"/>
                <w:sz w:val="21"/>
                <w:szCs w:val="21"/>
              </w:rPr>
              <w:t>根据质保期要求，提供详细的售后服务方案，包括但不限于保修期、维修响应时间、出现问题及解决办法和各项措施等。</w:t>
            </w:r>
          </w:p>
          <w:p>
            <w:pPr>
              <w:widowControl/>
              <w:spacing w:line="240" w:lineRule="auto"/>
              <w:ind w:firstLine="0" w:firstLineChars="0"/>
              <w:rPr>
                <w:sz w:val="21"/>
                <w:szCs w:val="21"/>
              </w:rPr>
            </w:pPr>
            <w:r>
              <w:rPr>
                <w:rFonts w:hint="eastAsia"/>
                <w:sz w:val="21"/>
                <w:szCs w:val="21"/>
              </w:rPr>
              <w:t>（1）完全满足得</w:t>
            </w:r>
            <w:r>
              <w:rPr>
                <w:sz w:val="21"/>
                <w:szCs w:val="21"/>
              </w:rPr>
              <w:t>5</w:t>
            </w:r>
            <w:r>
              <w:rPr>
                <w:rFonts w:hint="eastAsia"/>
                <w:sz w:val="21"/>
                <w:szCs w:val="21"/>
              </w:rPr>
              <w:t>分；</w:t>
            </w:r>
          </w:p>
          <w:p>
            <w:pPr>
              <w:widowControl/>
              <w:spacing w:line="240" w:lineRule="auto"/>
              <w:ind w:firstLine="0" w:firstLineChars="0"/>
              <w:rPr>
                <w:sz w:val="21"/>
                <w:szCs w:val="21"/>
              </w:rPr>
            </w:pPr>
            <w:r>
              <w:rPr>
                <w:rFonts w:hint="eastAsia"/>
                <w:sz w:val="21"/>
                <w:szCs w:val="21"/>
              </w:rPr>
              <w:t>（2）部分满足得</w:t>
            </w:r>
            <w:r>
              <w:rPr>
                <w:sz w:val="21"/>
                <w:szCs w:val="21"/>
              </w:rPr>
              <w:t>3</w:t>
            </w:r>
            <w:r>
              <w:rPr>
                <w:rFonts w:hint="eastAsia"/>
                <w:sz w:val="21"/>
                <w:szCs w:val="21"/>
              </w:rPr>
              <w:t>分；</w:t>
            </w:r>
          </w:p>
          <w:p>
            <w:pPr>
              <w:spacing w:line="240" w:lineRule="auto"/>
              <w:ind w:firstLine="0" w:firstLineChars="0"/>
              <w:rPr>
                <w:sz w:val="21"/>
                <w:szCs w:val="21"/>
              </w:rPr>
            </w:pPr>
            <w:r>
              <w:rPr>
                <w:rFonts w:hint="eastAsia"/>
                <w:sz w:val="21"/>
                <w:szCs w:val="21"/>
              </w:rPr>
              <w:t>（3）不满足得0分。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9039" w:type="dxa"/>
            <w:gridSpan w:val="6"/>
            <w:tcBorders>
              <w:top w:val="single" w:color="auto" w:sz="4" w:space="0"/>
              <w:left w:val="single" w:color="auto" w:sz="4" w:space="0"/>
              <w:bottom w:val="single" w:color="auto" w:sz="4" w:space="0"/>
              <w:right w:val="single" w:color="auto" w:sz="4" w:space="0"/>
            </w:tcBorders>
            <w:vAlign w:val="center"/>
          </w:tcPr>
          <w:p>
            <w:pPr>
              <w:ind w:firstLine="482"/>
              <w:jc w:val="center"/>
              <w:rPr>
                <w:szCs w:val="20"/>
              </w:rPr>
            </w:pPr>
            <w:r>
              <w:rPr>
                <w:rFonts w:hint="eastAsia"/>
                <w:b/>
                <w:szCs w:val="20"/>
              </w:rPr>
              <w:t>总分100分</w:t>
            </w:r>
          </w:p>
        </w:tc>
      </w:tr>
    </w:tbl>
    <w:p>
      <w:pPr>
        <w:ind w:firstLine="480"/>
        <w:rPr>
          <w:rFonts w:asciiTheme="minorEastAsia" w:hAnsiTheme="minorEastAsia" w:eastAsiaTheme="minorEastAsia"/>
          <w:szCs w:val="24"/>
        </w:rPr>
      </w:pPr>
    </w:p>
    <w:p>
      <w:pPr>
        <w:ind w:firstLine="480"/>
        <w:rPr>
          <w:rFonts w:hint="eastAsia" w:asciiTheme="minorEastAsia" w:hAnsiTheme="minorEastAsia" w:eastAsiaTheme="minorEastAsia"/>
          <w:szCs w:val="24"/>
        </w:rPr>
      </w:pPr>
      <w:r>
        <w:rPr>
          <w:rFonts w:asciiTheme="minorEastAsia" w:hAnsiTheme="minorEastAsia" w:eastAsiaTheme="minorEastAsia"/>
          <w:szCs w:val="24"/>
        </w:rPr>
        <w:br w:type="textWrapping" w:clear="all"/>
      </w:r>
    </w:p>
    <w:p>
      <w:pPr>
        <w:widowControl/>
        <w:ind w:firstLine="480"/>
        <w:jc w:val="left"/>
        <w:rPr>
          <w:sz w:val="32"/>
          <w:szCs w:val="32"/>
        </w:rPr>
        <w:sectPr>
          <w:headerReference r:id="rId3" w:type="default"/>
          <w:footerReference r:id="rId4" w:type="default"/>
          <w:pgSz w:w="11906" w:h="16838"/>
          <w:pgMar w:top="958" w:right="1803" w:bottom="1440" w:left="1803" w:header="851" w:footer="992" w:gutter="0"/>
          <w:cols w:space="0" w:num="1"/>
          <w:docGrid w:type="lines" w:linePitch="328" w:charSpace="0"/>
        </w:sectPr>
      </w:pPr>
      <w:r>
        <w:br w:type="page"/>
      </w:r>
      <w:bookmarkStart w:id="6" w:name="_Toc79152754"/>
    </w:p>
    <w:p>
      <w:pPr>
        <w:pStyle w:val="36"/>
        <w:ind w:firstLine="643"/>
        <w:rPr>
          <w:sz w:val="32"/>
          <w:szCs w:val="32"/>
        </w:rPr>
      </w:pPr>
      <w:r>
        <w:rPr>
          <w:rFonts w:hint="eastAsia"/>
          <w:sz w:val="32"/>
          <w:szCs w:val="32"/>
        </w:rPr>
        <w:t>申报文件格式</w:t>
      </w:r>
      <w:bookmarkEnd w:id="6"/>
    </w:p>
    <w:p>
      <w:pPr>
        <w:pStyle w:val="40"/>
        <w:ind w:firstLine="480"/>
        <w:sectPr>
          <w:pgSz w:w="11906" w:h="16838"/>
          <w:pgMar w:top="958" w:right="1803" w:bottom="1440" w:left="1803" w:header="851" w:footer="992" w:gutter="0"/>
          <w:cols w:space="0" w:num="1"/>
          <w:docGrid w:type="lines" w:linePitch="328" w:charSpace="0"/>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5"/>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6" w:type="first"/>
          <w:footerReference r:id="rId8" w:type="first"/>
          <w:headerReference r:id="rId5" w:type="default"/>
          <w:footerReference r:id="rId7" w:type="default"/>
          <w:pgSz w:w="11906" w:h="16838"/>
          <w:pgMar w:top="958" w:right="1803" w:bottom="1440" w:left="1803" w:header="851" w:footer="992" w:gutter="0"/>
          <w:cols w:space="0" w:num="1"/>
          <w:docGrid w:type="lines" w:linePitch="328" w:charSpace="0"/>
        </w:sectPr>
      </w:pPr>
    </w:p>
    <w:p>
      <w:pPr>
        <w:pStyle w:val="40"/>
        <w:ind w:firstLine="480"/>
      </w:pPr>
    </w:p>
    <w:p>
      <w:pPr>
        <w:pStyle w:val="40"/>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0"/>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0"/>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0"/>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财务状况报告（须提供</w:t>
      </w:r>
      <w:r>
        <w:rPr>
          <w:rFonts w:hint="eastAsia" w:ascii="Times New Roman" w:hAnsi="Times New Roman" w:cs="Times New Roman" w:eastAsiaTheme="minorEastAsia"/>
          <w:szCs w:val="24"/>
        </w:rPr>
        <w:t>2020年度</w:t>
      </w:r>
      <w:r>
        <w:rPr>
          <w:rFonts w:ascii="Times New Roman" w:hAnsi="Times New Roman" w:cs="Times New Roman" w:eastAsiaTheme="minorEastAsia"/>
          <w:szCs w:val="24"/>
        </w:rPr>
        <w:t>审计报告或财务报表或近三个月内银行资信证明）（复印件加盖公章）</w:t>
      </w:r>
    </w:p>
    <w:p>
      <w:pPr>
        <w:pStyle w:val="40"/>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依法缴纳税收的相关材料（复印件加盖公章）</w:t>
      </w:r>
    </w:p>
    <w:p>
      <w:pPr>
        <w:pStyle w:val="40"/>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依法缴纳社会保障资金的相关材料（复印件加盖公章）</w:t>
      </w:r>
    </w:p>
    <w:p>
      <w:pPr>
        <w:pStyle w:val="40"/>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参加本次项目申报前3年内在经营活动中没有重大违法记录的书面声明（复印件加盖公章）</w:t>
      </w:r>
    </w:p>
    <w:p>
      <w:pPr>
        <w:pStyle w:val="40"/>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供应商针对与其存在单位负责人为同一人或者与我方存在直接控股、管理关系情况的其他供应商的声明（复印件加盖公章）</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0"/>
        <w:ind w:firstLine="0" w:firstLineChars="0"/>
        <w:rPr>
          <w:rFonts w:asciiTheme="minorEastAsia" w:hAnsiTheme="minorEastAsia" w:eastAsiaTheme="minorEastAsia"/>
          <w:szCs w:val="24"/>
        </w:rPr>
      </w:pPr>
    </w:p>
    <w:p>
      <w:pPr>
        <w:pStyle w:val="42"/>
        <w:numPr>
          <w:ilvl w:val="0"/>
          <w:numId w:val="6"/>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7" w:name="_Toc447805154"/>
      <w:bookmarkStart w:id="8" w:name="_Toc233647592"/>
      <w:r>
        <w:rPr>
          <w:rFonts w:ascii="Times New Roman" w:hAnsi="Times New Roman" w:cs="Times New Roman"/>
          <w:b/>
        </w:rPr>
        <w:t>法定代表人身份证明书</w:t>
      </w:r>
      <w:bookmarkEnd w:id="7"/>
      <w:bookmarkEnd w:id="8"/>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pPr>
        <w:pStyle w:val="43"/>
        <w:ind w:firstLine="480"/>
        <w:rPr>
          <w:rFonts w:ascii="Times New Roman" w:hAnsi="Times New Roman" w:cs="Times New Roman"/>
        </w:rPr>
      </w:pPr>
    </w:p>
    <w:p>
      <w:pPr>
        <w:pStyle w:val="43"/>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3"/>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3"/>
        <w:ind w:firstLine="480"/>
        <w:rPr>
          <w:rFonts w:ascii="Times New Roman" w:hAnsi="Times New Roman" w:cs="Times New Roman"/>
        </w:rPr>
      </w:pPr>
      <w:r>
        <w:rPr>
          <w:rFonts w:ascii="Times New Roman" w:hAnsi="Times New Roman" w:cs="Times New Roman"/>
        </w:rPr>
        <w:t>被授权人姓名：</w:t>
      </w:r>
    </w:p>
    <w:p>
      <w:pPr>
        <w:pStyle w:val="43"/>
        <w:ind w:firstLine="480"/>
        <w:rPr>
          <w:rFonts w:ascii="Times New Roman" w:hAnsi="Times New Roman" w:cs="Times New Roman"/>
        </w:rPr>
      </w:pPr>
      <w:r>
        <w:rPr>
          <w:rFonts w:ascii="Times New Roman" w:hAnsi="Times New Roman" w:cs="Times New Roman"/>
        </w:rPr>
        <w:t>职务：</w:t>
      </w:r>
    </w:p>
    <w:p>
      <w:pPr>
        <w:pStyle w:val="43"/>
        <w:ind w:firstLine="480"/>
        <w:rPr>
          <w:rFonts w:ascii="Times New Roman" w:hAnsi="Times New Roman" w:cs="Times New Roman"/>
        </w:rPr>
      </w:pPr>
      <w:r>
        <w:rPr>
          <w:rFonts w:ascii="Times New Roman" w:hAnsi="Times New Roman" w:cs="Times New Roman"/>
        </w:rPr>
        <w:t>详细通信地址：</w:t>
      </w:r>
    </w:p>
    <w:p>
      <w:pPr>
        <w:pStyle w:val="43"/>
        <w:ind w:firstLine="480"/>
        <w:rPr>
          <w:rFonts w:ascii="Times New Roman" w:hAnsi="Times New Roman" w:cs="Times New Roman"/>
        </w:rPr>
      </w:pPr>
      <w:r>
        <w:rPr>
          <w:rFonts w:ascii="Times New Roman" w:hAnsi="Times New Roman" w:cs="Times New Roman"/>
        </w:rPr>
        <w:t>邮政编码：</w:t>
      </w:r>
    </w:p>
    <w:p>
      <w:pPr>
        <w:pStyle w:val="43"/>
        <w:ind w:firstLine="480"/>
        <w:rPr>
          <w:rFonts w:ascii="Times New Roman" w:hAnsi="Times New Roman" w:cs="Times New Roman"/>
        </w:rPr>
      </w:pPr>
      <w:r>
        <w:rPr>
          <w:rFonts w:ascii="Times New Roman" w:hAnsi="Times New Roman" w:cs="Times New Roman"/>
        </w:rPr>
        <w:t>传真：</w:t>
      </w:r>
    </w:p>
    <w:p>
      <w:pPr>
        <w:pStyle w:val="43"/>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2"/>
        <w:numPr>
          <w:ilvl w:val="0"/>
          <w:numId w:val="6"/>
        </w:numPr>
        <w:ind w:firstLineChars="0"/>
        <w:rPr>
          <w:rFonts w:ascii="Times New Roman" w:hAnsi="Times New Roman"/>
        </w:rPr>
      </w:pPr>
      <w:bookmarkStart w:id="9" w:name="_Toc496859272"/>
      <w:r>
        <w:rPr>
          <w:rFonts w:ascii="Times New Roman" w:hAnsi="Times New Roman"/>
        </w:rPr>
        <w:t>法人或者其他组织的营业执照等证明文件</w:t>
      </w:r>
      <w:bookmarkEnd w:id="9"/>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p>
    <w:p>
      <w:pPr>
        <w:pStyle w:val="42"/>
        <w:numPr>
          <w:ilvl w:val="0"/>
          <w:numId w:val="6"/>
        </w:numPr>
        <w:ind w:firstLineChars="0"/>
        <w:rPr>
          <w:rFonts w:ascii="Times New Roman" w:hAnsi="Times New Roman"/>
        </w:rPr>
      </w:pPr>
      <w:bookmarkStart w:id="10" w:name="_Toc496859273"/>
      <w:r>
        <w:rPr>
          <w:rFonts w:ascii="Times New Roman" w:hAnsi="Times New Roman"/>
        </w:rPr>
        <w:t>财务状况报告</w:t>
      </w:r>
      <w:bookmarkEnd w:id="10"/>
    </w:p>
    <w:p>
      <w:pPr>
        <w:ind w:firstLine="482"/>
        <w:jc w:val="center"/>
        <w:rPr>
          <w:rFonts w:ascii="Times New Roman" w:hAnsi="Times New Roman" w:cs="Times New Roman"/>
        </w:rPr>
      </w:pPr>
      <w:r>
        <w:rPr>
          <w:rFonts w:hint="eastAsia" w:ascii="Times New Roman" w:hAnsi="Times New Roman" w:cs="Times New Roman"/>
          <w:b/>
          <w:bCs/>
        </w:rPr>
        <w:t>2020年度</w:t>
      </w:r>
      <w:r>
        <w:rPr>
          <w:rFonts w:ascii="Times New Roman" w:hAnsi="Times New Roman" w:cs="Times New Roman"/>
          <w:b/>
          <w:bCs/>
        </w:rPr>
        <w:t>由会计师事务所出具财务审计报告</w:t>
      </w:r>
      <w:r>
        <w:rPr>
          <w:rFonts w:ascii="Times New Roman" w:hAnsi="Times New Roman" w:cs="Times New Roman"/>
        </w:rPr>
        <w:t>（复印件，注意不得缺漏财务报表和审计意见等关键页。）或</w:t>
      </w:r>
      <w:r>
        <w:rPr>
          <w:rFonts w:hint="eastAsia" w:ascii="Times New Roman" w:hAnsi="Times New Roman" w:cs="Times New Roman"/>
          <w:b/>
          <w:bCs/>
        </w:rPr>
        <w:t>2020年度</w:t>
      </w:r>
      <w:r>
        <w:rPr>
          <w:rFonts w:ascii="Times New Roman" w:hAnsi="Times New Roman" w:cs="Times New Roman"/>
          <w:b/>
          <w:bCs/>
        </w:rPr>
        <w:t>财务报表</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w:t>
      </w:r>
    </w:p>
    <w:p>
      <w:pPr>
        <w:ind w:firstLine="480"/>
        <w:rPr>
          <w:rFonts w:ascii="Times New Roman" w:hAnsi="Times New Roman" w:cs="Times New Roman"/>
        </w:rPr>
      </w:pPr>
    </w:p>
    <w:p>
      <w:pPr>
        <w:ind w:firstLine="480"/>
        <w:rPr>
          <w:rFonts w:ascii="Times New Roman" w:hAnsi="Times New Roman" w:cs="Times New Roman"/>
        </w:rPr>
      </w:pPr>
    </w:p>
    <w:p>
      <w:pPr>
        <w:pStyle w:val="42"/>
        <w:numPr>
          <w:ilvl w:val="0"/>
          <w:numId w:val="6"/>
        </w:numPr>
        <w:ind w:firstLineChars="0"/>
        <w:rPr>
          <w:rFonts w:ascii="Times New Roman" w:hAnsi="Times New Roman"/>
        </w:rPr>
      </w:pPr>
      <w:bookmarkStart w:id="11" w:name="_Toc496859274"/>
      <w:r>
        <w:rPr>
          <w:rFonts w:ascii="Times New Roman" w:hAnsi="Times New Roman"/>
        </w:rPr>
        <w:t>依法缴纳税收资金的相关材料</w:t>
      </w:r>
      <w:bookmarkEnd w:id="11"/>
    </w:p>
    <w:p>
      <w:pPr>
        <w:ind w:firstLine="480"/>
        <w:rPr>
          <w:rFonts w:ascii="Times New Roman" w:hAnsi="Times New Roman" w:cs="Times New Roman"/>
        </w:rPr>
      </w:pPr>
      <w:r>
        <w:rPr>
          <w:rFonts w:ascii="Times New Roman" w:hAnsi="Times New Roman" w:cs="Times New Roman"/>
        </w:rPr>
        <w:t>（《资格文件》递交截止时间前6个月内任意一次缴纳税收的凭证复印件；单位代扣代缴的个人所得税不能作为单位纳税的凭证；依法免税的供应商，应提供相应文件证明其依法免税）</w:t>
      </w:r>
    </w:p>
    <w:p>
      <w:pPr>
        <w:pStyle w:val="40"/>
        <w:ind w:firstLine="0" w:firstLineChars="0"/>
        <w:rPr>
          <w:rFonts w:ascii="Times New Roman" w:hAnsi="Times New Roman" w:cs="Times New Roman"/>
        </w:rPr>
      </w:pPr>
    </w:p>
    <w:p>
      <w:pPr>
        <w:pStyle w:val="42"/>
        <w:numPr>
          <w:ilvl w:val="0"/>
          <w:numId w:val="6"/>
        </w:numPr>
        <w:ind w:firstLineChars="0"/>
        <w:rPr>
          <w:rFonts w:ascii="Times New Roman" w:hAnsi="Times New Roman"/>
        </w:rPr>
      </w:pPr>
      <w:r>
        <w:rPr>
          <w:rFonts w:ascii="Times New Roman" w:hAnsi="Times New Roman"/>
        </w:rPr>
        <w:t>依法缴纳社会保障资金的相关材料</w:t>
      </w:r>
    </w:p>
    <w:p>
      <w:pPr>
        <w:ind w:firstLine="480"/>
        <w:rPr>
          <w:rFonts w:ascii="Times New Roman" w:hAnsi="Times New Roman" w:cs="Times New Roman"/>
        </w:rPr>
      </w:pPr>
      <w:r>
        <w:rPr>
          <w:rFonts w:ascii="Times New Roman" w:hAnsi="Times New Roman" w:cs="Times New Roman"/>
        </w:rPr>
        <w:t>（《资格文件》递交截止时间前6个月内任意一次缴纳社会保障资金的凭证复印件；依法不需缴纳社会保障资金的供应商，应提供相应文件证明其依法不需缴纳社会保障资金）</w:t>
      </w: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2"/>
        <w:numPr>
          <w:ilvl w:val="0"/>
          <w:numId w:val="6"/>
        </w:numPr>
        <w:ind w:firstLineChars="0"/>
        <w:rPr>
          <w:rFonts w:ascii="Times New Roman" w:hAnsi="Times New Roman"/>
        </w:rPr>
      </w:pPr>
      <w:r>
        <w:rPr>
          <w:rFonts w:ascii="Times New Roman" w:hAnsi="Times New Roman"/>
        </w:rPr>
        <w:t>参加</w:t>
      </w:r>
      <w:r>
        <w:rPr>
          <w:rFonts w:ascii="Times New Roman" w:hAnsi="Times New Roman" w:eastAsiaTheme="minorEastAsia"/>
          <w:szCs w:val="24"/>
        </w:rPr>
        <w:t>本次项目申报前</w:t>
      </w:r>
      <w:r>
        <w:rPr>
          <w:rFonts w:ascii="Times New Roman" w:hAnsi="Times New Roman"/>
        </w:rPr>
        <w:t>3年内在经营活动中没有重大违法记录的书面声明（格式）</w:t>
      </w:r>
    </w:p>
    <w:p>
      <w:pPr>
        <w:ind w:firstLine="480"/>
        <w:rPr>
          <w:rFonts w:ascii="Times New Roman" w:hAnsi="Times New Roman" w:cs="Times New Roman"/>
        </w:rPr>
      </w:pPr>
      <w:r>
        <w:rPr>
          <w:rFonts w:ascii="Times New Roman" w:hAnsi="Times New Roman" w:cs="Times New Roman"/>
        </w:rPr>
        <w:t>我单位郑重声明：</w:t>
      </w:r>
    </w:p>
    <w:p>
      <w:pPr>
        <w:ind w:firstLine="480"/>
        <w:rPr>
          <w:rFonts w:ascii="Times New Roman" w:hAnsi="Times New Roman" w:cs="Times New Roman"/>
        </w:rPr>
      </w:pPr>
      <w:r>
        <w:rPr>
          <w:rFonts w:ascii="Times New Roman" w:hAnsi="Times New Roman" w:cs="Times New Roman"/>
        </w:rPr>
        <w:t>我单位参加本次项目申报前3年内在经营活动中没有重大违法记录。</w:t>
      </w:r>
    </w:p>
    <w:p>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p>
    <w:p>
      <w:pPr>
        <w:pStyle w:val="40"/>
        <w:ind w:firstLine="0" w:firstLineChars="0"/>
        <w:rPr>
          <w:rFonts w:ascii="Times New Roman" w:hAnsi="Times New Roman" w:cs="Times New Roman"/>
        </w:rPr>
      </w:pPr>
    </w:p>
    <w:p>
      <w:pPr>
        <w:pStyle w:val="42"/>
        <w:numPr>
          <w:ilvl w:val="0"/>
          <w:numId w:val="6"/>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pPr>
        <w:pStyle w:val="43"/>
        <w:ind w:firstLine="480"/>
        <w:rPr>
          <w:rFonts w:ascii="Times New Roman" w:hAnsi="Times New Roman" w:cs="Times New Roman"/>
        </w:rPr>
      </w:pPr>
      <w:r>
        <w:rPr>
          <w:rFonts w:ascii="Times New Roman" w:hAnsi="Times New Roman" w:cs="Times New Roman"/>
        </w:rPr>
        <w:t>我方声明：</w:t>
      </w:r>
    </w:p>
    <w:p>
      <w:pPr>
        <w:pStyle w:val="43"/>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r>
              <w:rPr>
                <w:rFonts w:ascii="Times New Roman" w:hAnsi="Times New Roman" w:cs="Times New Roman"/>
              </w:rPr>
              <w:t>序号</w:t>
            </w:r>
          </w:p>
        </w:tc>
        <w:tc>
          <w:tcPr>
            <w:tcW w:w="3827" w:type="dxa"/>
          </w:tcPr>
          <w:p>
            <w:pPr>
              <w:pStyle w:val="43"/>
              <w:ind w:firstLine="0" w:firstLineChars="0"/>
              <w:rPr>
                <w:rFonts w:ascii="Times New Roman" w:hAnsi="Times New Roman" w:cs="Times New Roman"/>
              </w:rPr>
            </w:pPr>
            <w:r>
              <w:rPr>
                <w:rFonts w:ascii="Times New Roman" w:hAnsi="Times New Roman" w:cs="Times New Roman"/>
              </w:rPr>
              <w:t>供应商名称</w:t>
            </w:r>
          </w:p>
        </w:tc>
        <w:tc>
          <w:tcPr>
            <w:tcW w:w="4394" w:type="dxa"/>
          </w:tcPr>
          <w:p>
            <w:pPr>
              <w:pStyle w:val="43"/>
              <w:ind w:firstLine="0" w:firstLineChars="0"/>
              <w:rPr>
                <w:rFonts w:ascii="Times New Roman" w:hAnsi="Times New Roman" w:cs="Times New Roman"/>
              </w:rPr>
            </w:pPr>
            <w:r>
              <w:rPr>
                <w:rFonts w:ascii="Times New Roman" w:hAnsi="Times New Roman" w:cs="Times New Roman"/>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r>
              <w:rPr>
                <w:rFonts w:ascii="Times New Roman" w:hAnsi="Times New Roman" w:cs="Times New Roman"/>
              </w:rPr>
              <w:t>（如不存在，填无。）</w:t>
            </w:r>
          </w:p>
        </w:tc>
        <w:tc>
          <w:tcPr>
            <w:tcW w:w="4394"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p>
        </w:tc>
        <w:tc>
          <w:tcPr>
            <w:tcW w:w="4394"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p>
        </w:tc>
        <w:tc>
          <w:tcPr>
            <w:tcW w:w="4394"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p>
        </w:tc>
        <w:tc>
          <w:tcPr>
            <w:tcW w:w="4394" w:type="dxa"/>
          </w:tcPr>
          <w:p>
            <w:pPr>
              <w:pStyle w:val="43"/>
              <w:ind w:firstLine="0" w:firstLineChars="0"/>
              <w:rPr>
                <w:rFonts w:ascii="Times New Roman" w:hAnsi="Times New Roman" w:cs="Times New Roman"/>
              </w:rPr>
            </w:pPr>
          </w:p>
        </w:tc>
      </w:tr>
    </w:tbl>
    <w:p>
      <w:pPr>
        <w:pStyle w:val="43"/>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pPr>
        <w:pStyle w:val="43"/>
        <w:ind w:firstLine="480"/>
        <w:rPr>
          <w:rFonts w:ascii="Times New Roman" w:hAnsi="Times New Roman" w:cs="Times New Roman"/>
          <w:u w:val="single"/>
        </w:rPr>
      </w:pPr>
      <w:r>
        <w:rPr>
          <w:rFonts w:ascii="Times New Roman" w:hAnsi="Times New Roman" w:cs="Times New Roman"/>
        </w:rPr>
        <w:t>供应名称(加盖公章)：</w:t>
      </w:r>
      <w:r>
        <w:rPr>
          <w:rFonts w:ascii="Times New Roman" w:hAnsi="Times New Roman" w:cs="Times New Roman"/>
          <w:u w:val="single"/>
        </w:rPr>
        <w:t xml:space="preserve">                       </w:t>
      </w:r>
    </w:p>
    <w:p>
      <w:pPr>
        <w:pStyle w:val="43"/>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pPr>
        <w:pStyle w:val="40"/>
        <w:ind w:firstLine="0" w:firstLineChars="0"/>
        <w:rPr>
          <w:rFonts w:ascii="Times New Roman" w:hAnsi="Times New Roman" w:eastAsia="黑体" w:cs="Times New Roman"/>
          <w:bCs/>
          <w:sz w:val="52"/>
          <w:szCs w:val="52"/>
        </w:rPr>
      </w:pPr>
    </w:p>
    <w:p>
      <w:pPr>
        <w:pStyle w:val="35"/>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ascii="Times New Roman" w:hAnsi="Times New Roman" w:eastAsia="仿宋_GB2312" w:cs="Times New Roman"/>
        </w:rPr>
      </w:pPr>
      <w:r>
        <w:rPr>
          <w:rFonts w:ascii="Times New Roman" w:hAnsi="Times New Roman" w:eastAsia="仿宋_GB2312" w:cs="Times New Roman"/>
          <w:b/>
          <w:sz w:val="32"/>
          <w:szCs w:val="32"/>
        </w:rPr>
        <w:t>项目名称</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snapToGrid w:val="0"/>
        <w:spacing w:line="480" w:lineRule="auto"/>
        <w:ind w:firstLine="643"/>
        <w:jc w:val="left"/>
        <w:rPr>
          <w:rFonts w:ascii="Times New Roman" w:hAnsi="Times New Roman" w:eastAsia="仿宋_GB2312" w:cs="Times New Roman"/>
          <w:b/>
          <w:sz w:val="32"/>
        </w:rPr>
      </w:pPr>
      <w:r>
        <w:rPr>
          <w:rFonts w:ascii="Times New Roman" w:hAnsi="Times New Roman" w:eastAsia="仿宋_GB2312" w:cs="Times New Roman"/>
          <w:b/>
          <w:sz w:val="32"/>
          <w:szCs w:val="32"/>
        </w:rPr>
        <w:t xml:space="preserve">供应商全称： </w:t>
      </w:r>
      <w:r>
        <w:rPr>
          <w:rFonts w:ascii="Times New Roman" w:hAnsi="Times New Roman" w:eastAsia="仿宋_GB2312" w:cs="Times New Roman"/>
          <w:sz w:val="32"/>
          <w:szCs w:val="32"/>
          <w:u w:val="single"/>
        </w:rPr>
        <w:t xml:space="preserve">                     （加盖公章）</w:t>
      </w:r>
    </w:p>
    <w:p>
      <w:pPr>
        <w:snapToGrid w:val="0"/>
        <w:spacing w:line="480" w:lineRule="auto"/>
        <w:ind w:firstLine="643"/>
        <w:jc w:val="left"/>
        <w:rPr>
          <w:rFonts w:ascii="Times New Roman" w:hAnsi="Times New Roman" w:eastAsia="仿宋_GB2312" w:cs="Times New Roman"/>
          <w:bCs/>
          <w:sz w:val="32"/>
          <w:u w:val="single"/>
        </w:rPr>
      </w:pPr>
      <w:r>
        <w:rPr>
          <w:rFonts w:ascii="Times New Roman" w:hAnsi="Times New Roman" w:eastAsia="仿宋_GB2312" w:cs="Times New Roman"/>
          <w:b/>
          <w:sz w:val="32"/>
        </w:rPr>
        <w:t>日期</w:t>
      </w:r>
      <w:r>
        <w:rPr>
          <w:rFonts w:ascii="Times New Roman" w:hAnsi="Times New Roman" w:eastAsia="仿宋_GB2312" w:cs="Times New Roman"/>
          <w:sz w:val="32"/>
        </w:rPr>
        <w:t>：</w:t>
      </w:r>
      <w:r>
        <w:rPr>
          <w:rFonts w:ascii="Times New Roman" w:hAnsi="Times New Roman" w:eastAsia="仿宋_GB2312" w:cs="Times New Roman"/>
          <w:sz w:val="32"/>
          <w:szCs w:val="32"/>
          <w:u w:val="single"/>
        </w:rPr>
        <w:t xml:space="preserve">                            </w:t>
      </w:r>
    </w:p>
    <w:p>
      <w:pPr>
        <w:snapToGrid w:val="0"/>
        <w:spacing w:line="480" w:lineRule="auto"/>
        <w:ind w:firstLine="320" w:firstLineChars="100"/>
        <w:rPr>
          <w:rFonts w:ascii="Times New Roman" w:hAnsi="Times New Roman" w:eastAsia="仿宋_GB2312" w:cs="Times New Roman"/>
          <w:bCs/>
          <w:sz w:val="32"/>
          <w:u w:val="single"/>
        </w:rPr>
      </w:pP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7"/>
        <w:numPr>
          <w:ilvl w:val="0"/>
          <w:numId w:val="7"/>
        </w:numPr>
        <w:ind w:firstLineChars="0"/>
        <w:rPr>
          <w:rFonts w:ascii="Times New Roman" w:hAnsi="Times New Roman" w:cs="Times New Roman"/>
        </w:rPr>
      </w:pPr>
      <w:r>
        <w:rPr>
          <w:rFonts w:ascii="Times New Roman" w:hAnsi="Times New Roman" w:cs="Times New Roman"/>
        </w:rPr>
        <w:t>申报单位基本情况</w:t>
      </w:r>
    </w:p>
    <w:p>
      <w:pPr>
        <w:pStyle w:val="47"/>
        <w:numPr>
          <w:ilvl w:val="0"/>
          <w:numId w:val="7"/>
        </w:numPr>
        <w:ind w:firstLineChars="0"/>
        <w:rPr>
          <w:rFonts w:ascii="Times New Roman" w:hAnsi="Times New Roman" w:cs="Times New Roman"/>
        </w:rPr>
      </w:pPr>
      <w:r>
        <w:rPr>
          <w:rFonts w:ascii="Times New Roman" w:hAnsi="Times New Roman" w:cs="Times New Roman"/>
        </w:rPr>
        <w:t>服务报价情况</w:t>
      </w:r>
    </w:p>
    <w:p>
      <w:pPr>
        <w:pStyle w:val="47"/>
        <w:numPr>
          <w:ilvl w:val="0"/>
          <w:numId w:val="7"/>
        </w:numPr>
        <w:ind w:firstLineChars="0"/>
        <w:rPr>
          <w:rFonts w:ascii="Times New Roman" w:hAnsi="Times New Roman" w:cs="Times New Roman"/>
        </w:rPr>
      </w:pPr>
      <w:r>
        <w:rPr>
          <w:rFonts w:ascii="Times New Roman" w:hAnsi="Times New Roman" w:cs="Times New Roman"/>
        </w:rPr>
        <w:t>服务能力及经验业绩</w:t>
      </w:r>
    </w:p>
    <w:p>
      <w:pPr>
        <w:pStyle w:val="47"/>
        <w:numPr>
          <w:ilvl w:val="0"/>
          <w:numId w:val="7"/>
        </w:numPr>
        <w:ind w:firstLineChars="0"/>
        <w:rPr>
          <w:rFonts w:ascii="Times New Roman" w:hAnsi="Times New Roman" w:cs="Times New Roman"/>
        </w:rPr>
      </w:pPr>
      <w:r>
        <w:rPr>
          <w:rFonts w:ascii="Times New Roman" w:hAnsi="Times New Roman" w:cs="Times New Roman"/>
        </w:rPr>
        <w:t>技术响应方案</w:t>
      </w:r>
    </w:p>
    <w:p>
      <w:pPr>
        <w:pStyle w:val="47"/>
        <w:numPr>
          <w:ilvl w:val="0"/>
          <w:numId w:val="7"/>
        </w:numPr>
        <w:ind w:firstLineChars="0"/>
        <w:rPr>
          <w:rFonts w:ascii="Times New Roman" w:hAnsi="Times New Roman" w:cs="Times New Roman"/>
        </w:rPr>
      </w:pPr>
      <w:r>
        <w:rPr>
          <w:rFonts w:ascii="Times New Roman" w:hAnsi="Times New Roman" w:cs="Times New Roman"/>
        </w:rPr>
        <w:t>措施方案</w:t>
      </w:r>
    </w:p>
    <w:p>
      <w:pPr>
        <w:pStyle w:val="47"/>
        <w:numPr>
          <w:ilvl w:val="0"/>
          <w:numId w:val="7"/>
        </w:numPr>
        <w:ind w:firstLineChars="0"/>
        <w:rPr>
          <w:rFonts w:ascii="Times New Roman" w:hAnsi="Times New Roman" w:cs="Times New Roman"/>
        </w:rPr>
      </w:pPr>
      <w:r>
        <w:rPr>
          <w:rFonts w:ascii="Times New Roman" w:hAnsi="Times New Roman" w:cs="Times New Roman"/>
        </w:rPr>
        <w:t>基础保障及项目团队情况</w:t>
      </w:r>
    </w:p>
    <w:p>
      <w:pPr>
        <w:pStyle w:val="47"/>
        <w:numPr>
          <w:ilvl w:val="0"/>
          <w:numId w:val="7"/>
        </w:numPr>
        <w:ind w:firstLineChars="0"/>
        <w:rPr>
          <w:rFonts w:ascii="Times New Roman" w:hAnsi="Times New Roman" w:cs="Times New Roman"/>
        </w:rPr>
      </w:pPr>
      <w:r>
        <w:rPr>
          <w:rFonts w:ascii="Times New Roman" w:hAnsi="Times New Roman" w:cs="Times New Roman"/>
        </w:rPr>
        <w:t>预期成果</w:t>
      </w:r>
    </w:p>
    <w:p>
      <w:pPr>
        <w:pStyle w:val="47"/>
        <w:numPr>
          <w:ilvl w:val="0"/>
          <w:numId w:val="7"/>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2"/>
        <w:numPr>
          <w:ilvl w:val="0"/>
          <w:numId w:val="8"/>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0"/>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0"/>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2"/>
        <w:numPr>
          <w:ilvl w:val="0"/>
          <w:numId w:val="8"/>
        </w:numPr>
        <w:ind w:firstLineChars="0"/>
        <w:rPr>
          <w:rFonts w:ascii="Times New Roman" w:hAnsi="Times New Roman"/>
          <w:b w:val="0"/>
          <w:bCs w:val="0"/>
        </w:rPr>
      </w:pPr>
      <w:r>
        <w:rPr>
          <w:rFonts w:ascii="Times New Roman" w:hAnsi="Times New Roman"/>
        </w:rPr>
        <w:t>报价情况</w:t>
      </w:r>
    </w:p>
    <w:p>
      <w:pPr>
        <w:pStyle w:val="40"/>
        <w:ind w:firstLine="0" w:firstLineChars="0"/>
        <w:rPr>
          <w:rFonts w:ascii="Times New Roman" w:hAnsi="Times New Roman" w:cs="Times New Roman"/>
        </w:rPr>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0"/>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0"/>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0"/>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0"/>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rPr>
                <w:rFonts w:ascii="Times New Roman" w:hAnsi="Times New Roman" w:cs="Times New Roman"/>
              </w:rPr>
            </w:pPr>
            <w:r>
              <w:rPr>
                <w:rFonts w:ascii="Times New Roman" w:hAnsi="Times New Roman" w:cs="Times New Roman"/>
              </w:rPr>
              <w:t>......</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0"/>
              <w:ind w:firstLine="0" w:firstLineChars="0"/>
              <w:rPr>
                <w:rFonts w:ascii="Times New Roman" w:hAnsi="Times New Roman" w:cs="Times New Roman"/>
              </w:rPr>
            </w:pPr>
          </w:p>
        </w:tc>
      </w:tr>
    </w:tbl>
    <w:p>
      <w:pPr>
        <w:pStyle w:val="40"/>
        <w:ind w:firstLine="0" w:firstLineChars="0"/>
        <w:rPr>
          <w:rFonts w:ascii="Times New Roman" w:hAnsi="Times New Roman" w:cs="Times New Roman"/>
        </w:rPr>
      </w:pPr>
      <w:r>
        <w:rPr>
          <w:rFonts w:ascii="Times New Roman" w:hAnsi="Times New Roman" w:cs="Times New Roman"/>
        </w:rPr>
        <w:t xml:space="preserve">             </w:t>
      </w:r>
    </w:p>
    <w:p>
      <w:pPr>
        <w:pStyle w:val="40"/>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0"/>
        <w:ind w:firstLine="0" w:firstLineChars="0"/>
        <w:rPr>
          <w:rFonts w:ascii="Times New Roman" w:hAnsi="Times New Roman" w:cs="Times New Roman"/>
        </w:rPr>
      </w:pPr>
      <w:r>
        <w:rPr>
          <w:rFonts w:ascii="Times New Roman" w:hAnsi="Times New Roman" w:cs="Times New Roman"/>
        </w:rPr>
        <w:br w:type="page"/>
      </w:r>
    </w:p>
    <w:p>
      <w:pPr>
        <w:pStyle w:val="42"/>
        <w:numPr>
          <w:ilvl w:val="0"/>
          <w:numId w:val="8"/>
        </w:numPr>
        <w:ind w:firstLineChars="0"/>
        <w:rPr>
          <w:rFonts w:ascii="Times New Roman" w:hAnsi="Times New Roman"/>
          <w:b w:val="0"/>
          <w:bCs w:val="0"/>
        </w:rPr>
      </w:pPr>
      <w:r>
        <w:rPr>
          <w:rFonts w:ascii="Times New Roman" w:hAnsi="Times New Roman"/>
        </w:rPr>
        <w:t>服务能力及经验业绩</w:t>
      </w:r>
    </w:p>
    <w:p>
      <w:pPr>
        <w:pStyle w:val="40"/>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rPr>
      </w:pPr>
      <w:r>
        <w:rPr>
          <w:rFonts w:ascii="Times New Roman" w:hAnsi="Times New Roman" w:cs="Times New Roman"/>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0"/>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0"/>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0"/>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0"/>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bl>
    <w:p>
      <w:pPr>
        <w:pStyle w:val="40"/>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2"/>
        <w:numPr>
          <w:ilvl w:val="0"/>
          <w:numId w:val="8"/>
        </w:numPr>
        <w:ind w:firstLineChars="0"/>
        <w:rPr>
          <w:rFonts w:ascii="Times New Roman" w:hAnsi="Times New Roman"/>
          <w:b w:val="0"/>
          <w:bCs w:val="0"/>
        </w:rPr>
      </w:pPr>
      <w:r>
        <w:rPr>
          <w:rFonts w:ascii="Times New Roman" w:hAnsi="Times New Roman"/>
        </w:rPr>
        <w:t>技术响应方案</w:t>
      </w:r>
    </w:p>
    <w:p>
      <w:pPr>
        <w:pStyle w:val="40"/>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rPr>
      </w:pPr>
    </w:p>
    <w:p>
      <w:pPr>
        <w:pStyle w:val="42"/>
        <w:numPr>
          <w:ilvl w:val="0"/>
          <w:numId w:val="8"/>
        </w:numPr>
        <w:ind w:firstLineChars="0"/>
        <w:rPr>
          <w:rFonts w:ascii="Times New Roman" w:hAnsi="Times New Roman"/>
          <w:b w:val="0"/>
          <w:bCs w:val="0"/>
        </w:rPr>
      </w:pPr>
      <w:r>
        <w:rPr>
          <w:rFonts w:ascii="Times New Roman" w:hAnsi="Times New Roman"/>
        </w:rPr>
        <w:t>措施方案</w:t>
      </w:r>
    </w:p>
    <w:p>
      <w:pPr>
        <w:pStyle w:val="40"/>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2"/>
        <w:numPr>
          <w:ilvl w:val="0"/>
          <w:numId w:val="8"/>
        </w:numPr>
        <w:ind w:firstLineChars="0"/>
        <w:rPr>
          <w:rFonts w:ascii="Times New Roman" w:hAnsi="Times New Roman"/>
          <w:b w:val="0"/>
          <w:bCs w:val="0"/>
        </w:rPr>
      </w:pPr>
      <w:r>
        <w:rPr>
          <w:rFonts w:ascii="Times New Roman" w:hAnsi="Times New Roman"/>
        </w:rPr>
        <w:t>基础保障及项目团队情况</w:t>
      </w:r>
    </w:p>
    <w:p>
      <w:pPr>
        <w:pStyle w:val="40"/>
        <w:ind w:firstLine="0" w:firstLineChars="0"/>
        <w:rPr>
          <w:rFonts w:ascii="Times New Roman" w:hAnsi="Times New Roman" w:cs="Times New Roman"/>
        </w:rPr>
      </w:pPr>
    </w:p>
    <w:p>
      <w:pPr>
        <w:pStyle w:val="40"/>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0"/>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bl>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0"/>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0"/>
        <w:ind w:firstLine="0" w:firstLineChars="0"/>
        <w:jc w:val="center"/>
        <w:rPr>
          <w:rFonts w:ascii="Times New Roman" w:hAnsi="Times New Roman" w:cs="Times New Roman"/>
        </w:rPr>
      </w:pPr>
    </w:p>
    <w:p>
      <w:pPr>
        <w:pStyle w:val="42"/>
        <w:numPr>
          <w:ilvl w:val="0"/>
          <w:numId w:val="8"/>
        </w:numPr>
        <w:ind w:firstLineChars="0"/>
        <w:rPr>
          <w:rFonts w:ascii="Times New Roman" w:hAnsi="Times New Roman"/>
          <w:b w:val="0"/>
          <w:bCs w:val="0"/>
        </w:rPr>
      </w:pPr>
      <w:r>
        <w:rPr>
          <w:rFonts w:ascii="Times New Roman" w:hAnsi="Times New Roman"/>
        </w:rPr>
        <w:t>预期成果</w:t>
      </w:r>
    </w:p>
    <w:p>
      <w:pPr>
        <w:pStyle w:val="40"/>
        <w:ind w:left="480" w:leftChars="200" w:firstLine="0" w:firstLineChars="0"/>
        <w:rPr>
          <w:rFonts w:ascii="Times New Roman" w:hAnsi="Times New Roman" w:cs="Times New Roman"/>
        </w:rPr>
      </w:pPr>
    </w:p>
    <w:p>
      <w:pPr>
        <w:pStyle w:val="40"/>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2"/>
        <w:numPr>
          <w:ilvl w:val="0"/>
          <w:numId w:val="8"/>
        </w:numPr>
        <w:ind w:firstLineChars="0"/>
        <w:rPr>
          <w:rFonts w:ascii="Times New Roman" w:hAnsi="Times New Roman"/>
          <w:b w:val="0"/>
          <w:bCs w:val="0"/>
        </w:rPr>
      </w:pPr>
      <w:r>
        <w:rPr>
          <w:rFonts w:ascii="Times New Roman" w:hAnsi="Times New Roman"/>
        </w:rPr>
        <w:t>其他参与评审的资料</w:t>
      </w:r>
    </w:p>
    <w:p>
      <w:pPr>
        <w:pStyle w:val="40"/>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9A495EB"/>
    <w:multiLevelType w:val="singleLevel"/>
    <w:tmpl w:val="49A495EB"/>
    <w:lvl w:ilvl="0" w:tentative="0">
      <w:start w:val="1"/>
      <w:numFmt w:val="decimal"/>
      <w:suff w:val="nothing"/>
      <w:lvlText w:val="（%1）"/>
      <w:lvlJc w:val="left"/>
    </w:lvl>
  </w:abstractNum>
  <w:abstractNum w:abstractNumId="5">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7">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7"/>
  </w:num>
  <w:num w:numId="2">
    <w:abstractNumId w:val="1"/>
  </w:num>
  <w:num w:numId="3">
    <w:abstractNumId w:val="5"/>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549F"/>
    <w:rsid w:val="00126CFC"/>
    <w:rsid w:val="001364C5"/>
    <w:rsid w:val="00140B7F"/>
    <w:rsid w:val="00144564"/>
    <w:rsid w:val="001455E9"/>
    <w:rsid w:val="001659BF"/>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76E2D"/>
    <w:rsid w:val="0028207F"/>
    <w:rsid w:val="00283719"/>
    <w:rsid w:val="0029035E"/>
    <w:rsid w:val="002D4F50"/>
    <w:rsid w:val="002E37E2"/>
    <w:rsid w:val="002E7CCA"/>
    <w:rsid w:val="002E7E72"/>
    <w:rsid w:val="002F0BAC"/>
    <w:rsid w:val="0030026F"/>
    <w:rsid w:val="00301537"/>
    <w:rsid w:val="00305377"/>
    <w:rsid w:val="00312ABD"/>
    <w:rsid w:val="00315925"/>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65F01"/>
    <w:rsid w:val="00476BA3"/>
    <w:rsid w:val="00480C3A"/>
    <w:rsid w:val="00482A70"/>
    <w:rsid w:val="00490C1B"/>
    <w:rsid w:val="00494000"/>
    <w:rsid w:val="00497259"/>
    <w:rsid w:val="004B0084"/>
    <w:rsid w:val="004B20F5"/>
    <w:rsid w:val="004B3841"/>
    <w:rsid w:val="004D41F7"/>
    <w:rsid w:val="004D4F1A"/>
    <w:rsid w:val="004E5B6D"/>
    <w:rsid w:val="004F443A"/>
    <w:rsid w:val="00500F21"/>
    <w:rsid w:val="00506BE9"/>
    <w:rsid w:val="00512889"/>
    <w:rsid w:val="00535E89"/>
    <w:rsid w:val="005605AD"/>
    <w:rsid w:val="00562B1E"/>
    <w:rsid w:val="00566F1A"/>
    <w:rsid w:val="005761C6"/>
    <w:rsid w:val="0058127C"/>
    <w:rsid w:val="00582751"/>
    <w:rsid w:val="00586C32"/>
    <w:rsid w:val="00595319"/>
    <w:rsid w:val="005973C0"/>
    <w:rsid w:val="005A1509"/>
    <w:rsid w:val="005A4E9D"/>
    <w:rsid w:val="005A6A0E"/>
    <w:rsid w:val="005B13EC"/>
    <w:rsid w:val="005B494F"/>
    <w:rsid w:val="005C763A"/>
    <w:rsid w:val="005D13FD"/>
    <w:rsid w:val="005D17F8"/>
    <w:rsid w:val="005F0C6D"/>
    <w:rsid w:val="005F4AC6"/>
    <w:rsid w:val="006046B7"/>
    <w:rsid w:val="00604C77"/>
    <w:rsid w:val="0060630E"/>
    <w:rsid w:val="0060638E"/>
    <w:rsid w:val="00612EBF"/>
    <w:rsid w:val="00623FB7"/>
    <w:rsid w:val="00630145"/>
    <w:rsid w:val="00630478"/>
    <w:rsid w:val="0064671D"/>
    <w:rsid w:val="00673CD7"/>
    <w:rsid w:val="006817A3"/>
    <w:rsid w:val="00691CEC"/>
    <w:rsid w:val="00692282"/>
    <w:rsid w:val="006A0845"/>
    <w:rsid w:val="006B570C"/>
    <w:rsid w:val="006D02EB"/>
    <w:rsid w:val="006D125D"/>
    <w:rsid w:val="006D6E57"/>
    <w:rsid w:val="006E51FD"/>
    <w:rsid w:val="006F7BE9"/>
    <w:rsid w:val="007007D7"/>
    <w:rsid w:val="0070198B"/>
    <w:rsid w:val="007212BE"/>
    <w:rsid w:val="0072298F"/>
    <w:rsid w:val="007461BE"/>
    <w:rsid w:val="00747F3B"/>
    <w:rsid w:val="00770311"/>
    <w:rsid w:val="0078036E"/>
    <w:rsid w:val="0078187E"/>
    <w:rsid w:val="00781E54"/>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A12296"/>
    <w:rsid w:val="00A41926"/>
    <w:rsid w:val="00A610AA"/>
    <w:rsid w:val="00A61E2F"/>
    <w:rsid w:val="00AA69A3"/>
    <w:rsid w:val="00AB3371"/>
    <w:rsid w:val="00AC22F3"/>
    <w:rsid w:val="00AC4F18"/>
    <w:rsid w:val="00AC57C5"/>
    <w:rsid w:val="00AD1A33"/>
    <w:rsid w:val="00AE48AD"/>
    <w:rsid w:val="00B0403B"/>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D57B3"/>
    <w:rsid w:val="00BD635E"/>
    <w:rsid w:val="00BF263C"/>
    <w:rsid w:val="00C20A2D"/>
    <w:rsid w:val="00C31893"/>
    <w:rsid w:val="00C37124"/>
    <w:rsid w:val="00C574FE"/>
    <w:rsid w:val="00C64707"/>
    <w:rsid w:val="00C73047"/>
    <w:rsid w:val="00C7391E"/>
    <w:rsid w:val="00C95FD1"/>
    <w:rsid w:val="00CB7C83"/>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44DF"/>
    <w:rsid w:val="00D8592C"/>
    <w:rsid w:val="00D92C3B"/>
    <w:rsid w:val="00D971F3"/>
    <w:rsid w:val="00DB27BF"/>
    <w:rsid w:val="00DB3058"/>
    <w:rsid w:val="00DB520D"/>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F03BD6"/>
    <w:rsid w:val="00F05617"/>
    <w:rsid w:val="00F10706"/>
    <w:rsid w:val="00F1391F"/>
    <w:rsid w:val="00F166A9"/>
    <w:rsid w:val="00F16C34"/>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39761BD"/>
    <w:rsid w:val="045C773A"/>
    <w:rsid w:val="04B20487"/>
    <w:rsid w:val="050F648C"/>
    <w:rsid w:val="05F155AD"/>
    <w:rsid w:val="06126652"/>
    <w:rsid w:val="066939A4"/>
    <w:rsid w:val="069E14D2"/>
    <w:rsid w:val="07525502"/>
    <w:rsid w:val="07613720"/>
    <w:rsid w:val="07C86726"/>
    <w:rsid w:val="08104450"/>
    <w:rsid w:val="087A16F5"/>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62314A"/>
    <w:rsid w:val="14772295"/>
    <w:rsid w:val="14A66A25"/>
    <w:rsid w:val="159B1642"/>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2"/>
    <w:link w:val="33"/>
    <w:unhideWhenUsed/>
    <w:qFormat/>
    <w:uiPriority w:val="99"/>
    <w:pPr>
      <w:tabs>
        <w:tab w:val="center" w:pos="4153"/>
        <w:tab w:val="right" w:pos="8306"/>
      </w:tabs>
      <w:snapToGrid w:val="0"/>
      <w:jc w:val="left"/>
    </w:pPr>
    <w:rPr>
      <w:sz w:val="18"/>
      <w:szCs w:val="18"/>
    </w:rPr>
  </w:style>
  <w:style w:type="paragraph" w:styleId="12">
    <w:name w:val="header"/>
    <w:basedOn w:val="1"/>
    <w:next w:val="2"/>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字符"/>
    <w:basedOn w:val="17"/>
    <w:link w:val="12"/>
    <w:qFormat/>
    <w:uiPriority w:val="99"/>
    <w:rPr>
      <w:sz w:val="18"/>
      <w:szCs w:val="18"/>
    </w:rPr>
  </w:style>
  <w:style w:type="character" w:customStyle="1" w:styleId="33">
    <w:name w:val="页脚 字符"/>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字符"/>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字符"/>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字符"/>
    <w:basedOn w:val="17"/>
    <w:link w:val="2"/>
    <w:semiHidden/>
    <w:qFormat/>
    <w:uiPriority w:val="9"/>
    <w:rPr>
      <w:b/>
      <w:bCs/>
      <w:sz w:val="32"/>
      <w:szCs w:val="32"/>
    </w:rPr>
  </w:style>
  <w:style w:type="paragraph" w:customStyle="1" w:styleId="42">
    <w:name w:val="附件六二级标题"/>
    <w:basedOn w:val="2"/>
    <w:next w:val="1"/>
    <w:qFormat/>
    <w:uiPriority w:val="0"/>
    <w:pPr>
      <w:spacing w:line="240" w:lineRule="auto"/>
      <w:jc w:val="center"/>
    </w:pPr>
    <w:rPr>
      <w:rFonts w:ascii="Calibri" w:cs="Times New Roman"/>
      <w:sz w:val="28"/>
    </w:rPr>
  </w:style>
  <w:style w:type="paragraph" w:customStyle="1" w:styleId="43">
    <w:name w:val="正文-首缩2字符"/>
    <w:basedOn w:val="1"/>
    <w:next w:val="2"/>
    <w:qFormat/>
    <w:uiPriority w:val="0"/>
    <w:pPr>
      <w:jc w:val="left"/>
    </w:pPr>
    <w:rPr>
      <w:rFonts w:ascii="Calibri" w:cs="宋体"/>
      <w:szCs w:val="24"/>
    </w:rPr>
  </w:style>
  <w:style w:type="character" w:customStyle="1" w:styleId="44">
    <w:name w:val="批注框文本 字符"/>
    <w:basedOn w:val="17"/>
    <w:link w:val="10"/>
    <w:semiHidden/>
    <w:qFormat/>
    <w:uiPriority w:val="99"/>
    <w:rPr>
      <w:kern w:val="2"/>
      <w:sz w:val="18"/>
      <w:szCs w:val="18"/>
    </w:rPr>
  </w:style>
  <w:style w:type="character" w:customStyle="1" w:styleId="45">
    <w:name w:val="批注文字 字符"/>
    <w:basedOn w:val="17"/>
    <w:link w:val="7"/>
    <w:semiHidden/>
    <w:qFormat/>
    <w:uiPriority w:val="99"/>
    <w:rPr>
      <w:kern w:val="2"/>
      <w:sz w:val="24"/>
      <w:szCs w:val="22"/>
    </w:rPr>
  </w:style>
  <w:style w:type="character" w:customStyle="1" w:styleId="46">
    <w:name w:val="批注主题 字符"/>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字符"/>
    <w:basedOn w:val="17"/>
    <w:link w:val="8"/>
    <w:qFormat/>
    <w:uiPriority w:val="0"/>
    <w:rPr>
      <w:rFonts w:ascii="宋体" w:hAnsi="宋体" w:eastAsiaTheme="minorEastAsia" w:cstheme="minorBidi"/>
      <w:kern w:val="24"/>
      <w:sz w:val="18"/>
    </w:rPr>
  </w:style>
  <w:style w:type="paragraph" w:customStyle="1" w:styleId="55">
    <w:name w:val="列表段落1"/>
    <w:basedOn w:val="1"/>
    <w:qFormat/>
    <w:uiPriority w:val="34"/>
    <w:pPr>
      <w:widowControl/>
      <w:spacing w:line="240" w:lineRule="auto"/>
      <w:ind w:firstLine="420"/>
      <w:jc w:val="left"/>
    </w:pPr>
    <w:rPr>
      <w:rFonts w:cs="宋体"/>
      <w:kern w:val="0"/>
      <w:szCs w:val="24"/>
    </w:rPr>
  </w:style>
  <w:style w:type="paragraph" w:customStyle="1" w:styleId="56">
    <w:name w:val="修订2"/>
    <w:hidden/>
    <w:semiHidden/>
    <w:qFormat/>
    <w:uiPriority w:val="99"/>
    <w:rPr>
      <w:rFonts w:ascii="宋体" w:hAnsi="宋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5CDA9-130B-444E-ADD9-46FFD638A44C}">
  <ds:schemaRefs/>
</ds:datastoreItem>
</file>

<file path=docProps/app.xml><?xml version="1.0" encoding="utf-8"?>
<Properties xmlns="http://schemas.openxmlformats.org/officeDocument/2006/extended-properties" xmlns:vt="http://schemas.openxmlformats.org/officeDocument/2006/docPropsVTypes">
  <Template>Normal</Template>
  <Pages>29</Pages>
  <Words>1445</Words>
  <Characters>8240</Characters>
  <Lines>68</Lines>
  <Paragraphs>19</Paragraphs>
  <TotalTime>0</TotalTime>
  <ScaleCrop>false</ScaleCrop>
  <LinksUpToDate>false</LinksUpToDate>
  <CharactersWithSpaces>9666</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2021-09-03T09:14:00Z</dcterms:created>
  <dc:creator>潘爽</dc:creator>
  <cp:lastModifiedBy>梁敬保</cp:lastModifiedBy>
  <dcterms:modified xsi:type="dcterms:W3CDTF">2021-12-27T07:18:41Z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