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5D" w:rsidRPr="007A195D" w:rsidRDefault="007A195D" w:rsidP="007A195D">
      <w:pPr>
        <w:spacing w:line="360" w:lineRule="auto"/>
        <w:rPr>
          <w:rFonts w:ascii="小标宋" w:eastAsia="小标宋" w:hAnsi="宋体"/>
          <w:sz w:val="32"/>
          <w:szCs w:val="32"/>
        </w:rPr>
      </w:pPr>
      <w:r w:rsidRPr="007A195D">
        <w:rPr>
          <w:rFonts w:ascii="小标宋" w:eastAsia="小标宋" w:hAnsi="宋体" w:hint="eastAsia"/>
          <w:sz w:val="32"/>
          <w:szCs w:val="32"/>
        </w:rPr>
        <w:t>附件</w:t>
      </w:r>
      <w:r w:rsidR="006777C6">
        <w:rPr>
          <w:rFonts w:ascii="小标宋" w:eastAsia="小标宋" w:hAnsi="宋体" w:hint="eastAsia"/>
          <w:sz w:val="32"/>
          <w:szCs w:val="32"/>
        </w:rPr>
        <w:t>3</w:t>
      </w:r>
    </w:p>
    <w:p w:rsidR="00A37220" w:rsidRDefault="00A37220" w:rsidP="007A195D">
      <w:pPr>
        <w:spacing w:line="360" w:lineRule="auto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中国科学技术馆办公设备维修服务</w:t>
      </w:r>
      <w:r w:rsidR="00612D73">
        <w:rPr>
          <w:rFonts w:ascii="小标宋" w:eastAsia="小标宋" w:hAnsi="宋体" w:hint="eastAsia"/>
          <w:sz w:val="44"/>
          <w:szCs w:val="44"/>
        </w:rPr>
        <w:t>项目</w:t>
      </w:r>
    </w:p>
    <w:p w:rsidR="00DE0A1F" w:rsidRPr="007A195D" w:rsidRDefault="007A195D" w:rsidP="007A195D">
      <w:pPr>
        <w:spacing w:line="360" w:lineRule="auto"/>
        <w:jc w:val="center"/>
        <w:rPr>
          <w:rFonts w:ascii="小标宋" w:eastAsia="小标宋" w:hAnsi="宋体"/>
          <w:sz w:val="44"/>
          <w:szCs w:val="44"/>
        </w:rPr>
      </w:pPr>
      <w:r w:rsidRPr="007A195D">
        <w:rPr>
          <w:rFonts w:ascii="小标宋" w:eastAsia="小标宋" w:hAnsi="宋体" w:hint="eastAsia"/>
          <w:sz w:val="44"/>
          <w:szCs w:val="44"/>
        </w:rPr>
        <w:t>申报评审</w:t>
      </w:r>
      <w:r w:rsidR="008961F0">
        <w:rPr>
          <w:rFonts w:ascii="小标宋" w:eastAsia="小标宋" w:hAnsi="宋体" w:hint="eastAsia"/>
          <w:sz w:val="44"/>
          <w:szCs w:val="44"/>
        </w:rPr>
        <w:t>评分细则</w:t>
      </w:r>
      <w:bookmarkStart w:id="0" w:name="_GoBack"/>
      <w:bookmarkEnd w:id="0"/>
    </w:p>
    <w:tbl>
      <w:tblPr>
        <w:tblpPr w:leftFromText="180" w:rightFromText="180" w:vertAnchor="text" w:horzAnchor="margin" w:tblpXSpec="center" w:tblpY="934"/>
        <w:tblOverlap w:val="never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"/>
        <w:gridCol w:w="1099"/>
        <w:gridCol w:w="10"/>
        <w:gridCol w:w="7682"/>
      </w:tblGrid>
      <w:tr w:rsidR="007A195D" w:rsidTr="007A195D">
        <w:trPr>
          <w:trHeight w:val="209"/>
        </w:trPr>
        <w:tc>
          <w:tcPr>
            <w:tcW w:w="1267" w:type="dxa"/>
            <w:gridSpan w:val="2"/>
            <w:vAlign w:val="center"/>
          </w:tcPr>
          <w:p w:rsidR="007A195D" w:rsidRDefault="007A195D" w:rsidP="007A195D">
            <w:pPr>
              <w:spacing w:line="5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1099" w:type="dxa"/>
            <w:vAlign w:val="center"/>
          </w:tcPr>
          <w:p w:rsidR="007A195D" w:rsidRDefault="007A195D" w:rsidP="007A195D">
            <w:pPr>
              <w:spacing w:line="5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7692" w:type="dxa"/>
            <w:gridSpan w:val="2"/>
            <w:vAlign w:val="center"/>
          </w:tcPr>
          <w:p w:rsidR="007A195D" w:rsidRDefault="007A195D" w:rsidP="007A195D">
            <w:pPr>
              <w:spacing w:line="5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7A195D" w:rsidTr="007A195D">
        <w:trPr>
          <w:cantSplit/>
          <w:trHeight w:val="541"/>
        </w:trPr>
        <w:tc>
          <w:tcPr>
            <w:tcW w:w="10058" w:type="dxa"/>
            <w:gridSpan w:val="5"/>
            <w:vAlign w:val="center"/>
          </w:tcPr>
          <w:p w:rsidR="007A195D" w:rsidRDefault="007A195D" w:rsidP="00297920">
            <w:pPr>
              <w:spacing w:line="58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 w:rsidR="00297920"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0分</w:t>
            </w:r>
          </w:p>
        </w:tc>
      </w:tr>
      <w:tr w:rsidR="007A195D" w:rsidTr="007A195D">
        <w:trPr>
          <w:cantSplit/>
          <w:trHeight w:val="1390"/>
        </w:trPr>
        <w:tc>
          <w:tcPr>
            <w:tcW w:w="1267" w:type="dxa"/>
            <w:gridSpan w:val="2"/>
            <w:vAlign w:val="center"/>
          </w:tcPr>
          <w:p w:rsidR="007A195D" w:rsidRPr="00F42DE1" w:rsidRDefault="007A195D" w:rsidP="007A195D">
            <w:pPr>
              <w:jc w:val="center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总报价</w:t>
            </w:r>
          </w:p>
        </w:tc>
        <w:tc>
          <w:tcPr>
            <w:tcW w:w="1099" w:type="dxa"/>
            <w:vAlign w:val="center"/>
          </w:tcPr>
          <w:p w:rsidR="007A195D" w:rsidRPr="00F42DE1" w:rsidRDefault="00FD2DCB" w:rsidP="007A195D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7</w:t>
            </w:r>
            <w:r w:rsidR="007A195D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0</w:t>
            </w:r>
            <w:r w:rsidR="007A195D" w:rsidRPr="00F42DE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分</w:t>
            </w:r>
          </w:p>
        </w:tc>
        <w:tc>
          <w:tcPr>
            <w:tcW w:w="7692" w:type="dxa"/>
            <w:gridSpan w:val="2"/>
            <w:vAlign w:val="center"/>
          </w:tcPr>
          <w:p w:rsidR="007A195D" w:rsidRDefault="007A195D" w:rsidP="00066DDB">
            <w:pPr>
              <w:widowControl/>
              <w:snapToGrid w:val="0"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投标报价分＝（基准价/申报报价）×价格分（计算至小数点后两位，下同）。</w:t>
            </w:r>
          </w:p>
        </w:tc>
      </w:tr>
      <w:tr w:rsidR="007A195D" w:rsidTr="007A195D">
        <w:trPr>
          <w:cantSplit/>
          <w:trHeight w:val="418"/>
        </w:trPr>
        <w:tc>
          <w:tcPr>
            <w:tcW w:w="10058" w:type="dxa"/>
            <w:gridSpan w:val="5"/>
            <w:vAlign w:val="center"/>
          </w:tcPr>
          <w:p w:rsidR="007A195D" w:rsidRDefault="007A195D" w:rsidP="007A195D">
            <w:pPr>
              <w:spacing w:line="58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二、商务部分 </w:t>
            </w:r>
            <w:r w:rsidR="00D078B0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195D" w:rsidTr="007A195D">
        <w:trPr>
          <w:cantSplit/>
          <w:trHeight w:val="917"/>
        </w:trPr>
        <w:tc>
          <w:tcPr>
            <w:tcW w:w="1267" w:type="dxa"/>
            <w:gridSpan w:val="2"/>
            <w:vAlign w:val="center"/>
          </w:tcPr>
          <w:p w:rsidR="007A195D" w:rsidRDefault="007A195D" w:rsidP="007A195D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类似项目业绩</w:t>
            </w:r>
          </w:p>
        </w:tc>
        <w:tc>
          <w:tcPr>
            <w:tcW w:w="1099" w:type="dxa"/>
            <w:vAlign w:val="center"/>
          </w:tcPr>
          <w:p w:rsidR="007A195D" w:rsidRDefault="007A195D" w:rsidP="007A195D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5分</w:t>
            </w:r>
          </w:p>
        </w:tc>
        <w:tc>
          <w:tcPr>
            <w:tcW w:w="7692" w:type="dxa"/>
            <w:gridSpan w:val="2"/>
            <w:vAlign w:val="center"/>
          </w:tcPr>
          <w:p w:rsidR="007A195D" w:rsidRPr="00F42DE1" w:rsidRDefault="007A195D" w:rsidP="002F5041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供应商提供近</w:t>
            </w:r>
            <w:r w:rsid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三</w:t>
            </w: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年（自201</w:t>
            </w:r>
            <w:r w:rsid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8</w:t>
            </w: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年1月1日至今，以签约时间为准）</w:t>
            </w:r>
            <w:r w:rsid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承担过类似项目业绩</w:t>
            </w: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。每提供1项得1分，最多得5分。与用户签订的合同首页、合同服务内容所在页、盖章页等有效证明材料复印件（其中</w:t>
            </w:r>
            <w:proofErr w:type="gramStart"/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需反映</w:t>
            </w:r>
            <w:proofErr w:type="gramEnd"/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出评审所需内容），并加盖</w:t>
            </w:r>
            <w:r w:rsidR="005D44C8" w:rsidRPr="00FD2DCB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单位</w:t>
            </w: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 xml:space="preserve">公章。 </w:t>
            </w:r>
          </w:p>
        </w:tc>
      </w:tr>
      <w:tr w:rsidR="007A195D" w:rsidTr="007A195D">
        <w:trPr>
          <w:cantSplit/>
          <w:trHeight w:val="1187"/>
        </w:trPr>
        <w:tc>
          <w:tcPr>
            <w:tcW w:w="1267" w:type="dxa"/>
            <w:gridSpan w:val="2"/>
            <w:vAlign w:val="center"/>
          </w:tcPr>
          <w:p w:rsidR="007A195D" w:rsidRDefault="007A195D" w:rsidP="007A195D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维修授权</w:t>
            </w:r>
          </w:p>
        </w:tc>
        <w:tc>
          <w:tcPr>
            <w:tcW w:w="1099" w:type="dxa"/>
            <w:vAlign w:val="center"/>
          </w:tcPr>
          <w:p w:rsidR="007A195D" w:rsidRDefault="002450B2" w:rsidP="007A195D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1</w:t>
            </w:r>
            <w:r w:rsidR="00CC329E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5</w:t>
            </w:r>
            <w:r w:rsidR="007A195D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分</w:t>
            </w:r>
          </w:p>
        </w:tc>
        <w:tc>
          <w:tcPr>
            <w:tcW w:w="7692" w:type="dxa"/>
            <w:gridSpan w:val="2"/>
            <w:vAlign w:val="center"/>
          </w:tcPr>
          <w:p w:rsidR="00FD2DCB" w:rsidRPr="00FD2DCB" w:rsidRDefault="007A195D" w:rsidP="00FD2DCB">
            <w:pPr>
              <w:pStyle w:val="TableParagraph"/>
              <w:spacing w:before="1"/>
              <w:rPr>
                <w:rFonts w:ascii="仿宋_GB2312" w:eastAsia="仿宋_GB2312" w:hAnsi="微软雅黑" w:cs="微软雅黑"/>
                <w:color w:val="000000"/>
                <w:szCs w:val="22"/>
                <w:lang w:val="en-US" w:bidi="ar-SA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供应商</w:t>
            </w:r>
            <w:r w:rsidR="00D078B0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提供</w:t>
            </w:r>
            <w:r w:rsidRPr="00F42DE1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在有效期内的</w:t>
            </w:r>
            <w:r w:rsidR="00D078B0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配件明细表中</w:t>
            </w:r>
            <w:r w:rsidR="00FD2DCB" w:rsidRPr="00FD2DCB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厂家</w:t>
            </w:r>
            <w:r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的维修授权</w:t>
            </w:r>
            <w:r w:rsidR="00680C79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及售后</w:t>
            </w:r>
            <w:r w:rsidR="00DA0F41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服务</w:t>
            </w:r>
            <w:r w:rsidR="00680C79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资格</w:t>
            </w:r>
            <w:r w:rsidR="00D078B0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，数量≥10个，</w:t>
            </w:r>
            <w:r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得</w:t>
            </w:r>
            <w:r w:rsidR="00CC329E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1</w:t>
            </w:r>
            <w:r w:rsidR="00D078B0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5分；5个≤数量＜10个，得10分；1个≤数量＜5个，得5分；不提供，得0分</w:t>
            </w:r>
            <w:r w:rsidR="00FD2DCB" w:rsidRPr="00FD2DCB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。</w:t>
            </w:r>
            <w:r w:rsidR="00FD2DCB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 xml:space="preserve"> </w:t>
            </w:r>
          </w:p>
          <w:p w:rsidR="00CC329E" w:rsidRDefault="005D44C8" w:rsidP="00D078B0">
            <w:pPr>
              <w:pStyle w:val="TableParagraph"/>
              <w:spacing w:before="1"/>
              <w:rPr>
                <w:rFonts w:ascii="仿宋_GB2312" w:eastAsia="仿宋_GB2312" w:hAnsi="微软雅黑" w:cs="微软雅黑"/>
                <w:color w:val="000000"/>
                <w:szCs w:val="22"/>
                <w:lang w:val="en-US" w:bidi="ar-SA"/>
              </w:rPr>
            </w:pPr>
            <w:r w:rsidRPr="00FD2DCB">
              <w:rPr>
                <w:rFonts w:ascii="仿宋_GB2312" w:eastAsia="仿宋_GB2312" w:hAnsi="微软雅黑" w:cs="微软雅黑" w:hint="eastAsia"/>
                <w:color w:val="000000"/>
                <w:szCs w:val="22"/>
                <w:lang w:val="en-US" w:bidi="ar-SA"/>
              </w:rPr>
              <w:t>注：提供证明材料并加盖单位公章。</w:t>
            </w:r>
          </w:p>
        </w:tc>
      </w:tr>
      <w:tr w:rsidR="007A195D" w:rsidTr="007A195D">
        <w:trPr>
          <w:cantSplit/>
          <w:trHeight w:val="540"/>
        </w:trPr>
        <w:tc>
          <w:tcPr>
            <w:tcW w:w="10058" w:type="dxa"/>
            <w:gridSpan w:val="5"/>
            <w:vAlign w:val="center"/>
          </w:tcPr>
          <w:p w:rsidR="007A195D" w:rsidRDefault="007A195D" w:rsidP="00297920">
            <w:pPr>
              <w:spacing w:line="580" w:lineRule="exact"/>
              <w:jc w:val="left"/>
              <w:rPr>
                <w:rFonts w:ascii="仿宋_GB2312" w:eastAsia="仿宋_GB2312" w:hAnsi="微软雅黑" w:cs="微软雅黑"/>
                <w:b/>
                <w:color w:val="000000"/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</w:t>
            </w:r>
            <w:r w:rsidR="00297920">
              <w:rPr>
                <w:rFonts w:ascii="宋体" w:hAnsi="宋体" w:hint="eastAsia"/>
                <w:b/>
                <w:sz w:val="24"/>
              </w:rPr>
              <w:t>1</w:t>
            </w:r>
            <w:r w:rsidR="00D078B0"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195D" w:rsidTr="002F5041">
        <w:trPr>
          <w:cantSplit/>
          <w:trHeight w:val="1326"/>
        </w:trPr>
        <w:tc>
          <w:tcPr>
            <w:tcW w:w="1242" w:type="dxa"/>
            <w:vAlign w:val="center"/>
          </w:tcPr>
          <w:p w:rsidR="007A195D" w:rsidRDefault="007A195D" w:rsidP="00FD2DCB">
            <w:pPr>
              <w:widowControl/>
              <w:snapToGrid w:val="0"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项目</w:t>
            </w:r>
            <w:r w:rsid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服务</w:t>
            </w: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方案</w:t>
            </w:r>
          </w:p>
        </w:tc>
        <w:tc>
          <w:tcPr>
            <w:tcW w:w="1134" w:type="dxa"/>
            <w:gridSpan w:val="3"/>
            <w:vAlign w:val="center"/>
          </w:tcPr>
          <w:p w:rsidR="007A195D" w:rsidRDefault="007A195D" w:rsidP="007A195D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5分</w:t>
            </w:r>
          </w:p>
        </w:tc>
        <w:tc>
          <w:tcPr>
            <w:tcW w:w="7682" w:type="dxa"/>
            <w:vAlign w:val="center"/>
          </w:tcPr>
          <w:p w:rsidR="002F5041" w:rsidRPr="002F5041" w:rsidRDefault="002F5041" w:rsidP="002F5041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服务方案专业、规范、完善，流程合理高效，满足采购需求。</w:t>
            </w:r>
          </w:p>
          <w:p w:rsidR="007A195D" w:rsidRDefault="002F5041" w:rsidP="002F5041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满足要求得5分，部分满足得</w:t>
            </w:r>
            <w:r w:rsidR="005568BC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3</w:t>
            </w: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分，不满足得0分。</w:t>
            </w:r>
          </w:p>
        </w:tc>
      </w:tr>
      <w:tr w:rsidR="007A195D" w:rsidTr="002F5041">
        <w:trPr>
          <w:cantSplit/>
          <w:trHeight w:val="677"/>
        </w:trPr>
        <w:tc>
          <w:tcPr>
            <w:tcW w:w="1242" w:type="dxa"/>
            <w:vAlign w:val="center"/>
          </w:tcPr>
          <w:p w:rsidR="007A195D" w:rsidRDefault="002F5041" w:rsidP="007A195D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投标文件的规范性</w:t>
            </w:r>
          </w:p>
        </w:tc>
        <w:tc>
          <w:tcPr>
            <w:tcW w:w="1134" w:type="dxa"/>
            <w:gridSpan w:val="3"/>
            <w:vAlign w:val="center"/>
          </w:tcPr>
          <w:p w:rsidR="007A195D" w:rsidRDefault="005568BC" w:rsidP="007A195D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5</w:t>
            </w:r>
            <w:r w:rsidR="007A195D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分</w:t>
            </w:r>
          </w:p>
        </w:tc>
        <w:tc>
          <w:tcPr>
            <w:tcW w:w="7682" w:type="dxa"/>
            <w:vAlign w:val="center"/>
          </w:tcPr>
          <w:p w:rsidR="002F5041" w:rsidRPr="002F5041" w:rsidRDefault="002F5041" w:rsidP="002F5041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投标文件制作规范。</w:t>
            </w:r>
          </w:p>
          <w:p w:rsidR="002F5041" w:rsidRPr="002F5041" w:rsidRDefault="002F5041" w:rsidP="002F5041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（1）完全满足要求，没有细微偏差，得</w:t>
            </w:r>
            <w:r w:rsidR="005568BC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5</w:t>
            </w: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分。</w:t>
            </w:r>
          </w:p>
          <w:p w:rsidR="002F5041" w:rsidRPr="002F5041" w:rsidRDefault="002F5041" w:rsidP="002F5041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（2）部分满足要求，有一项细微偏差，得</w:t>
            </w:r>
            <w:r w:rsidR="005568BC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3</w:t>
            </w: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分。</w:t>
            </w:r>
          </w:p>
          <w:p w:rsidR="007A195D" w:rsidRDefault="002F5041" w:rsidP="002F5041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Cs w:val="22"/>
              </w:rPr>
            </w:pPr>
            <w:r w:rsidRPr="002F5041">
              <w:rPr>
                <w:rFonts w:ascii="仿宋_GB2312" w:eastAsia="仿宋_GB2312" w:hAnsi="微软雅黑" w:cs="微软雅黑" w:hint="eastAsia"/>
                <w:color w:val="000000"/>
                <w:szCs w:val="22"/>
              </w:rPr>
              <w:t>（3）不满足要求，有重大偏差，得0分。</w:t>
            </w:r>
          </w:p>
        </w:tc>
      </w:tr>
    </w:tbl>
    <w:p w:rsidR="00E937CF" w:rsidRPr="00DE0A1F" w:rsidRDefault="00E937CF" w:rsidP="007A195D">
      <w:pPr>
        <w:spacing w:line="360" w:lineRule="auto"/>
        <w:rPr>
          <w:rFonts w:ascii="宋体" w:hAnsi="宋体" w:cs="宋体"/>
          <w:color w:val="000000"/>
          <w:kern w:val="0"/>
          <w:sz w:val="30"/>
          <w:szCs w:val="30"/>
        </w:rPr>
      </w:pPr>
    </w:p>
    <w:sectPr w:rsidR="00E937CF" w:rsidRPr="00DE0A1F">
      <w:footerReference w:type="even" r:id="rId9"/>
      <w:footerReference w:type="default" r:id="rId10"/>
      <w:pgSz w:w="11906" w:h="16838"/>
      <w:pgMar w:top="1786" w:right="1474" w:bottom="992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15" w:rsidRDefault="00ED3E15">
      <w:r>
        <w:separator/>
      </w:r>
    </w:p>
  </w:endnote>
  <w:endnote w:type="continuationSeparator" w:id="0">
    <w:p w:rsidR="00ED3E15" w:rsidRDefault="00ED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D3" w:rsidRDefault="008E4C1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81FD3" w:rsidRDefault="00ED3E1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D3" w:rsidRDefault="008E4C1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61F0" w:rsidRPr="008961F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15" w:rsidRDefault="00ED3E15">
      <w:r>
        <w:separator/>
      </w:r>
    </w:p>
  </w:footnote>
  <w:footnote w:type="continuationSeparator" w:id="0">
    <w:p w:rsidR="00ED3E15" w:rsidRDefault="00ED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09AB"/>
    <w:rsid w:val="00066DDB"/>
    <w:rsid w:val="000C3C11"/>
    <w:rsid w:val="000E22BD"/>
    <w:rsid w:val="00102F00"/>
    <w:rsid w:val="00135657"/>
    <w:rsid w:val="00144DA5"/>
    <w:rsid w:val="001A7CD4"/>
    <w:rsid w:val="001B5936"/>
    <w:rsid w:val="00234F06"/>
    <w:rsid w:val="002450B2"/>
    <w:rsid w:val="00297920"/>
    <w:rsid w:val="002D73E4"/>
    <w:rsid w:val="002F0AEB"/>
    <w:rsid w:val="002F5041"/>
    <w:rsid w:val="003337E0"/>
    <w:rsid w:val="003974D7"/>
    <w:rsid w:val="003A0008"/>
    <w:rsid w:val="00414956"/>
    <w:rsid w:val="00466487"/>
    <w:rsid w:val="005568BC"/>
    <w:rsid w:val="00574AEF"/>
    <w:rsid w:val="00582574"/>
    <w:rsid w:val="005953E7"/>
    <w:rsid w:val="005A240D"/>
    <w:rsid w:val="005B222A"/>
    <w:rsid w:val="005D44C8"/>
    <w:rsid w:val="00612D73"/>
    <w:rsid w:val="00627D5A"/>
    <w:rsid w:val="006417D7"/>
    <w:rsid w:val="006644C4"/>
    <w:rsid w:val="006777C6"/>
    <w:rsid w:val="00680C79"/>
    <w:rsid w:val="00680CBC"/>
    <w:rsid w:val="006A6783"/>
    <w:rsid w:val="006D4110"/>
    <w:rsid w:val="00787BDC"/>
    <w:rsid w:val="00794D71"/>
    <w:rsid w:val="007A195D"/>
    <w:rsid w:val="007C2687"/>
    <w:rsid w:val="007E07EC"/>
    <w:rsid w:val="007F644D"/>
    <w:rsid w:val="0082063B"/>
    <w:rsid w:val="008961F0"/>
    <w:rsid w:val="008E4C13"/>
    <w:rsid w:val="009B0A64"/>
    <w:rsid w:val="009C4518"/>
    <w:rsid w:val="00A37220"/>
    <w:rsid w:val="00A4275A"/>
    <w:rsid w:val="00B7395F"/>
    <w:rsid w:val="00BF31E8"/>
    <w:rsid w:val="00CC329E"/>
    <w:rsid w:val="00D04832"/>
    <w:rsid w:val="00D078B0"/>
    <w:rsid w:val="00D33587"/>
    <w:rsid w:val="00DA0F41"/>
    <w:rsid w:val="00DB25CD"/>
    <w:rsid w:val="00DB538A"/>
    <w:rsid w:val="00DC0E7D"/>
    <w:rsid w:val="00DE0A1F"/>
    <w:rsid w:val="00E11CAE"/>
    <w:rsid w:val="00E129BF"/>
    <w:rsid w:val="00E15A99"/>
    <w:rsid w:val="00E6630F"/>
    <w:rsid w:val="00E937CF"/>
    <w:rsid w:val="00E96DDD"/>
    <w:rsid w:val="00EA6757"/>
    <w:rsid w:val="00ED3E15"/>
    <w:rsid w:val="00F15555"/>
    <w:rsid w:val="00F42DE1"/>
    <w:rsid w:val="00F5439C"/>
    <w:rsid w:val="00FB78C0"/>
    <w:rsid w:val="00FD2DCB"/>
    <w:rsid w:val="2668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96DD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E96DDD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qFormat/>
    <w:rsid w:val="00E96DDD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Normal Indent"/>
    <w:basedOn w:val="a"/>
    <w:unhideWhenUsed/>
    <w:qFormat/>
    <w:rsid w:val="00E96DDD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9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E96DDD"/>
    <w:rPr>
      <w:kern w:val="2"/>
      <w:sz w:val="18"/>
      <w:szCs w:val="18"/>
    </w:rPr>
  </w:style>
  <w:style w:type="character" w:styleId="a5">
    <w:name w:val="page number"/>
    <w:basedOn w:val="a1"/>
    <w:qFormat/>
    <w:rsid w:val="00E96DDD"/>
  </w:style>
  <w:style w:type="paragraph" w:customStyle="1" w:styleId="TableParagraph">
    <w:name w:val="Table Paragraph"/>
    <w:basedOn w:val="a"/>
    <w:uiPriority w:val="1"/>
    <w:qFormat/>
    <w:rsid w:val="00E96DDD"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0"/>
    <w:rsid w:val="0046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466487"/>
    <w:rPr>
      <w:kern w:val="2"/>
      <w:sz w:val="18"/>
      <w:szCs w:val="18"/>
    </w:rPr>
  </w:style>
  <w:style w:type="paragraph" w:customStyle="1" w:styleId="CharCharChar">
    <w:name w:val="Char Char Char"/>
    <w:basedOn w:val="a"/>
    <w:rsid w:val="00E937CF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96DD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E96DDD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qFormat/>
    <w:rsid w:val="00E96DDD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Normal Indent"/>
    <w:basedOn w:val="a"/>
    <w:unhideWhenUsed/>
    <w:qFormat/>
    <w:rsid w:val="00E96DDD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9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E96DDD"/>
    <w:rPr>
      <w:kern w:val="2"/>
      <w:sz w:val="18"/>
      <w:szCs w:val="18"/>
    </w:rPr>
  </w:style>
  <w:style w:type="character" w:styleId="a5">
    <w:name w:val="page number"/>
    <w:basedOn w:val="a1"/>
    <w:qFormat/>
    <w:rsid w:val="00E96DDD"/>
  </w:style>
  <w:style w:type="paragraph" w:customStyle="1" w:styleId="TableParagraph">
    <w:name w:val="Table Paragraph"/>
    <w:basedOn w:val="a"/>
    <w:uiPriority w:val="1"/>
    <w:qFormat/>
    <w:rsid w:val="00E96DDD"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0"/>
    <w:rsid w:val="0046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466487"/>
    <w:rPr>
      <w:kern w:val="2"/>
      <w:sz w:val="18"/>
      <w:szCs w:val="18"/>
    </w:rPr>
  </w:style>
  <w:style w:type="paragraph" w:customStyle="1" w:styleId="CharCharChar">
    <w:name w:val="Char Char Char"/>
    <w:basedOn w:val="a"/>
    <w:rsid w:val="00E937CF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D95CB-2668-4462-923C-D42F555E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wyf</cp:lastModifiedBy>
  <cp:revision>15</cp:revision>
  <cp:lastPrinted>2021-04-06T07:00:00Z</cp:lastPrinted>
  <dcterms:created xsi:type="dcterms:W3CDTF">2021-03-18T01:57:00Z</dcterms:created>
  <dcterms:modified xsi:type="dcterms:W3CDTF">2021-04-13T02:56:00Z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